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F2" w:rsidRDefault="005F44F2" w:rsidP="00C61118">
      <w:pPr>
        <w:rPr>
          <w:b/>
          <w:u w:val="single"/>
        </w:rPr>
      </w:pPr>
      <w:bookmarkStart w:id="0" w:name="_GoBack"/>
      <w:bookmarkEnd w:id="0"/>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5F44F2">
      <w:pPr>
        <w:jc w:val="center"/>
        <w:rPr>
          <w:b/>
          <w:u w:val="single"/>
        </w:rPr>
      </w:pPr>
    </w:p>
    <w:p w:rsidR="005F44F2" w:rsidRDefault="005F44F2" w:rsidP="005F44F2">
      <w:pPr>
        <w:jc w:val="center"/>
        <w:rPr>
          <w:b/>
          <w:sz w:val="28"/>
          <w:szCs w:val="28"/>
        </w:rPr>
      </w:pPr>
    </w:p>
    <w:p w:rsidR="005F44F2" w:rsidRDefault="005F44F2" w:rsidP="005F44F2">
      <w:pPr>
        <w:jc w:val="center"/>
        <w:rPr>
          <w:b/>
          <w:sz w:val="28"/>
          <w:szCs w:val="28"/>
        </w:rPr>
      </w:pPr>
    </w:p>
    <w:p w:rsidR="005F44F2" w:rsidRPr="0033261F" w:rsidRDefault="005F44F2" w:rsidP="005F44F2">
      <w:pPr>
        <w:jc w:val="center"/>
        <w:rPr>
          <w:b/>
          <w:sz w:val="36"/>
          <w:szCs w:val="28"/>
        </w:rPr>
      </w:pPr>
      <w:smartTag w:uri="urn:schemas-microsoft-com:office:smarttags" w:element="place">
        <w:smartTag w:uri="urn:schemas-microsoft-com:office:smarttags" w:element="City">
          <w:r w:rsidRPr="0033261F">
            <w:rPr>
              <w:b/>
              <w:sz w:val="36"/>
              <w:szCs w:val="28"/>
            </w:rPr>
            <w:t>University of North</w:t>
          </w:r>
        </w:smartTag>
        <w:r w:rsidRPr="0033261F">
          <w:rPr>
            <w:b/>
            <w:sz w:val="36"/>
            <w:szCs w:val="28"/>
          </w:rPr>
          <w:t xml:space="preserve"> </w:t>
        </w:r>
        <w:smartTag w:uri="urn:schemas-microsoft-com:office:smarttags" w:element="State">
          <w:r w:rsidRPr="0033261F">
            <w:rPr>
              <w:b/>
              <w:sz w:val="36"/>
              <w:szCs w:val="28"/>
            </w:rPr>
            <w:t>Alabama</w:t>
          </w:r>
        </w:smartTag>
      </w:smartTag>
      <w:r w:rsidRPr="0033261F">
        <w:rPr>
          <w:b/>
          <w:sz w:val="36"/>
          <w:szCs w:val="28"/>
        </w:rPr>
        <w:t xml:space="preserve"> </w:t>
      </w:r>
    </w:p>
    <w:p w:rsidR="005F44F2" w:rsidRPr="0033261F" w:rsidRDefault="005F44F2" w:rsidP="005F44F2">
      <w:pPr>
        <w:jc w:val="center"/>
        <w:rPr>
          <w:b/>
          <w:sz w:val="36"/>
          <w:szCs w:val="28"/>
        </w:rPr>
      </w:pPr>
    </w:p>
    <w:p w:rsidR="005F44F2" w:rsidRDefault="005F44F2" w:rsidP="005F44F2">
      <w:pPr>
        <w:jc w:val="center"/>
        <w:rPr>
          <w:b/>
          <w:sz w:val="36"/>
          <w:szCs w:val="28"/>
        </w:rPr>
      </w:pPr>
      <w:r w:rsidRPr="0033261F">
        <w:rPr>
          <w:b/>
          <w:sz w:val="36"/>
          <w:szCs w:val="28"/>
        </w:rPr>
        <w:t>5 Year Online Department</w:t>
      </w:r>
      <w:r w:rsidR="0033261F">
        <w:rPr>
          <w:b/>
          <w:sz w:val="36"/>
          <w:szCs w:val="28"/>
        </w:rPr>
        <w:t>al</w:t>
      </w:r>
      <w:r w:rsidRPr="0033261F">
        <w:rPr>
          <w:b/>
          <w:sz w:val="36"/>
          <w:szCs w:val="28"/>
        </w:rPr>
        <w:t xml:space="preserve"> Review</w:t>
      </w:r>
    </w:p>
    <w:p w:rsidR="0033261F" w:rsidRDefault="0033261F" w:rsidP="005F44F2">
      <w:pPr>
        <w:jc w:val="center"/>
        <w:rPr>
          <w:b/>
          <w:sz w:val="36"/>
          <w:szCs w:val="28"/>
        </w:rPr>
      </w:pPr>
    </w:p>
    <w:p w:rsidR="0033261F" w:rsidRDefault="0033261F" w:rsidP="005F44F2">
      <w:pPr>
        <w:jc w:val="center"/>
        <w:rPr>
          <w:b/>
          <w:sz w:val="36"/>
          <w:szCs w:val="28"/>
        </w:rPr>
      </w:pPr>
      <w:r>
        <w:rPr>
          <w:b/>
          <w:sz w:val="36"/>
          <w:szCs w:val="28"/>
        </w:rPr>
        <w:t>College of Nursing &amp; Allied Health</w:t>
      </w:r>
    </w:p>
    <w:p w:rsidR="0033261F" w:rsidRDefault="0033261F" w:rsidP="005F44F2">
      <w:pPr>
        <w:jc w:val="center"/>
        <w:rPr>
          <w:b/>
          <w:sz w:val="36"/>
          <w:szCs w:val="28"/>
        </w:rPr>
      </w:pPr>
    </w:p>
    <w:p w:rsidR="0033261F" w:rsidRPr="0033261F" w:rsidRDefault="0033261F" w:rsidP="005F44F2">
      <w:pPr>
        <w:jc w:val="center"/>
        <w:rPr>
          <w:b/>
          <w:sz w:val="36"/>
          <w:szCs w:val="28"/>
        </w:rPr>
      </w:pPr>
      <w:r>
        <w:rPr>
          <w:b/>
          <w:sz w:val="36"/>
          <w:szCs w:val="28"/>
        </w:rPr>
        <w:t>Online Nursing Department</w:t>
      </w:r>
    </w:p>
    <w:p w:rsidR="005F44F2" w:rsidRDefault="005F44F2" w:rsidP="005F44F2">
      <w:pPr>
        <w:jc w:val="center"/>
        <w:rPr>
          <w:b/>
          <w:sz w:val="28"/>
          <w:szCs w:val="28"/>
        </w:rPr>
      </w:pPr>
    </w:p>
    <w:p w:rsidR="0033261F" w:rsidRDefault="0033261F" w:rsidP="005F44F2">
      <w:pPr>
        <w:jc w:val="center"/>
        <w:rPr>
          <w:b/>
          <w:sz w:val="28"/>
          <w:szCs w:val="28"/>
        </w:rPr>
      </w:pPr>
    </w:p>
    <w:p w:rsidR="0033261F" w:rsidRDefault="0033261F" w:rsidP="005F44F2">
      <w:pPr>
        <w:jc w:val="center"/>
        <w:rPr>
          <w:b/>
          <w:sz w:val="28"/>
          <w:szCs w:val="28"/>
        </w:rPr>
      </w:pPr>
    </w:p>
    <w:p w:rsidR="005F44F2" w:rsidRDefault="00086D12" w:rsidP="00086D12">
      <w:pPr>
        <w:rPr>
          <w:b/>
          <w:szCs w:val="28"/>
        </w:rPr>
      </w:pPr>
      <w:r>
        <w:rPr>
          <w:b/>
          <w:szCs w:val="28"/>
        </w:rPr>
        <w:t xml:space="preserve">                                    </w:t>
      </w:r>
      <w:r w:rsidR="005F44F2" w:rsidRPr="0033261F">
        <w:rPr>
          <w:b/>
          <w:szCs w:val="28"/>
        </w:rPr>
        <w:t>Submitted by: Dr. Wanda Bradford, Chair</w:t>
      </w:r>
    </w:p>
    <w:p w:rsidR="0033261F" w:rsidRDefault="0033261F" w:rsidP="0033261F">
      <w:pPr>
        <w:ind w:left="2160"/>
        <w:rPr>
          <w:b/>
          <w:szCs w:val="28"/>
        </w:rPr>
      </w:pPr>
    </w:p>
    <w:p w:rsidR="005F44F2" w:rsidRPr="0033261F" w:rsidRDefault="005F44F2" w:rsidP="005F44F2">
      <w:pPr>
        <w:jc w:val="center"/>
        <w:rPr>
          <w:b/>
          <w:szCs w:val="28"/>
        </w:rPr>
      </w:pPr>
    </w:p>
    <w:p w:rsidR="005F44F2" w:rsidRPr="0033261F" w:rsidRDefault="005F44F2" w:rsidP="0033261F">
      <w:pPr>
        <w:ind w:left="2160"/>
        <w:rPr>
          <w:b/>
          <w:szCs w:val="28"/>
        </w:rPr>
      </w:pPr>
      <w:r w:rsidRPr="0033261F">
        <w:rPr>
          <w:b/>
          <w:szCs w:val="28"/>
        </w:rPr>
        <w:t>Signature:______________________________</w:t>
      </w:r>
    </w:p>
    <w:p w:rsidR="005F44F2" w:rsidRDefault="005F44F2" w:rsidP="005F44F2">
      <w:pPr>
        <w:jc w:val="center"/>
        <w:rPr>
          <w:b/>
          <w:szCs w:val="28"/>
        </w:rPr>
      </w:pPr>
    </w:p>
    <w:p w:rsidR="0033261F" w:rsidRPr="0033261F" w:rsidRDefault="0033261F" w:rsidP="005F44F2">
      <w:pPr>
        <w:jc w:val="center"/>
        <w:rPr>
          <w:b/>
          <w:szCs w:val="28"/>
        </w:rPr>
      </w:pPr>
    </w:p>
    <w:p w:rsidR="005F44F2" w:rsidRPr="0033261F" w:rsidRDefault="0033261F" w:rsidP="0033261F">
      <w:pPr>
        <w:ind w:left="1440" w:firstLine="720"/>
        <w:rPr>
          <w:b/>
          <w:sz w:val="22"/>
          <w:u w:val="single"/>
        </w:rPr>
      </w:pPr>
      <w:r w:rsidRPr="0033261F">
        <w:rPr>
          <w:b/>
          <w:szCs w:val="28"/>
        </w:rPr>
        <w:t>Date:</w:t>
      </w:r>
      <w:r w:rsidRPr="0033261F">
        <w:rPr>
          <w:b/>
          <w:szCs w:val="28"/>
        </w:rPr>
        <w:tab/>
        <w:t>__________________________________</w:t>
      </w:r>
      <w:r w:rsidRPr="0033261F">
        <w:rPr>
          <w:b/>
          <w:szCs w:val="28"/>
          <w:u w:val="single"/>
        </w:rPr>
        <w:t xml:space="preserve">      </w:t>
      </w: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5F44F2" w:rsidRDefault="005F44F2" w:rsidP="00C61118">
      <w:pPr>
        <w:rPr>
          <w:b/>
          <w:u w:val="single"/>
        </w:rPr>
      </w:pPr>
    </w:p>
    <w:p w:rsidR="00612A27" w:rsidRPr="00BB317C" w:rsidRDefault="00612A27" w:rsidP="00C61118">
      <w:pPr>
        <w:rPr>
          <w:b/>
          <w:u w:val="single"/>
        </w:rPr>
      </w:pPr>
      <w:r w:rsidRPr="00BB317C">
        <w:rPr>
          <w:b/>
          <w:u w:val="single"/>
        </w:rPr>
        <w:lastRenderedPageBreak/>
        <w:t>Five-Year Departmental Enrollment and Faculty Data</w:t>
      </w:r>
    </w:p>
    <w:p w:rsidR="00612A27" w:rsidRDefault="00612A27" w:rsidP="00612A27">
      <w:pPr>
        <w:ind w:left="360"/>
      </w:pPr>
    </w:p>
    <w:p w:rsidR="00612A27" w:rsidRPr="004F07A0" w:rsidRDefault="004F07A0" w:rsidP="004B7803">
      <w:pPr>
        <w:rPr>
          <w:b/>
        </w:rPr>
      </w:pPr>
      <w:r w:rsidRPr="004F07A0">
        <w:rPr>
          <w:b/>
        </w:rPr>
        <w:t>Statistical Overview</w:t>
      </w:r>
    </w:p>
    <w:p w:rsidR="00453E31" w:rsidRDefault="00453E31" w:rsidP="00453E31">
      <w:pPr>
        <w:ind w:left="1080"/>
      </w:pPr>
    </w:p>
    <w:p w:rsidR="00D36565" w:rsidRDefault="00453E31" w:rsidP="00F62957">
      <w:pPr>
        <w:spacing w:after="200" w:line="276" w:lineRule="auto"/>
        <w:ind w:firstLine="450"/>
        <w:contextualSpacing/>
        <w:rPr>
          <w:sz w:val="23"/>
          <w:szCs w:val="23"/>
        </w:rPr>
      </w:pPr>
      <w:r>
        <w:rPr>
          <w:sz w:val="23"/>
          <w:szCs w:val="23"/>
        </w:rPr>
        <w:t xml:space="preserve">Data listed below is the annual </w:t>
      </w:r>
      <w:r>
        <w:rPr>
          <w:b/>
          <w:bCs/>
          <w:sz w:val="23"/>
          <w:szCs w:val="23"/>
        </w:rPr>
        <w:t xml:space="preserve">averages </w:t>
      </w:r>
      <w:r>
        <w:rPr>
          <w:sz w:val="23"/>
          <w:szCs w:val="23"/>
        </w:rPr>
        <w:t>of the five-year data set provided by Institutional Research, Planning and Assessment for the Academic Years 2004 -2005 through 2008-2009.</w:t>
      </w:r>
      <w:r w:rsidR="00810855">
        <w:rPr>
          <w:sz w:val="23"/>
          <w:szCs w:val="23"/>
        </w:rPr>
        <w:t xml:space="preserve">  </w:t>
      </w:r>
      <w:r w:rsidR="00810855">
        <w:rPr>
          <w:rFonts w:eastAsiaTheme="minorHAnsi"/>
        </w:rPr>
        <w:t>Although the Online Nursing Department was not established until the Fall of 2006, this review will included undergraduate online program data for five years, wherever feasible.</w:t>
      </w:r>
    </w:p>
    <w:p w:rsidR="00453E31" w:rsidRDefault="00D36565" w:rsidP="004E6BC0">
      <w:pPr>
        <w:pStyle w:val="Default"/>
        <w:rPr>
          <w:sz w:val="23"/>
          <w:szCs w:val="23"/>
        </w:rPr>
      </w:pPr>
      <w:r>
        <w:rPr>
          <w:sz w:val="23"/>
          <w:szCs w:val="23"/>
        </w:rPr>
        <w:t>*Note: GR</w:t>
      </w:r>
      <w:r w:rsidR="004E6BC0">
        <w:rPr>
          <w:sz w:val="23"/>
          <w:szCs w:val="23"/>
        </w:rPr>
        <w:t xml:space="preserve">ADUATE data represents 3 years as the </w:t>
      </w:r>
      <w:r>
        <w:rPr>
          <w:sz w:val="23"/>
          <w:szCs w:val="23"/>
        </w:rPr>
        <w:t xml:space="preserve">MSN </w:t>
      </w:r>
      <w:r w:rsidRPr="00D36565">
        <w:rPr>
          <w:sz w:val="23"/>
          <w:szCs w:val="23"/>
        </w:rPr>
        <w:t xml:space="preserve">program began in </w:t>
      </w:r>
      <w:r w:rsidR="004E6BC0">
        <w:rPr>
          <w:sz w:val="23"/>
          <w:szCs w:val="23"/>
        </w:rPr>
        <w:t xml:space="preserve">August, </w:t>
      </w:r>
      <w:r w:rsidRPr="00D36565">
        <w:rPr>
          <w:sz w:val="23"/>
          <w:szCs w:val="23"/>
        </w:rPr>
        <w:t>2006-2007</w:t>
      </w:r>
      <w:r w:rsidR="004E6BC0">
        <w:rPr>
          <w:sz w:val="23"/>
          <w:szCs w:val="23"/>
        </w:rPr>
        <w:t>.</w:t>
      </w:r>
    </w:p>
    <w:p w:rsidR="00453E31" w:rsidRDefault="00453E31" w:rsidP="00453E31">
      <w:pPr>
        <w:pStyle w:val="Default"/>
        <w:ind w:left="720"/>
        <w:rPr>
          <w:sz w:val="23"/>
          <w:szCs w:val="23"/>
        </w:rPr>
      </w:pPr>
    </w:p>
    <w:p w:rsidR="00453E31" w:rsidRDefault="00453E31" w:rsidP="00C61118">
      <w:pPr>
        <w:pStyle w:val="Default"/>
        <w:ind w:left="720"/>
        <w:rPr>
          <w:sz w:val="23"/>
          <w:szCs w:val="23"/>
        </w:rPr>
      </w:pPr>
      <w:r>
        <w:rPr>
          <w:sz w:val="23"/>
          <w:szCs w:val="23"/>
        </w:rPr>
        <w:t xml:space="preserve">1. </w:t>
      </w:r>
      <w:r w:rsidR="00D36565">
        <w:rPr>
          <w:sz w:val="23"/>
          <w:szCs w:val="23"/>
        </w:rPr>
        <w:t>Average N</w:t>
      </w:r>
      <w:r>
        <w:rPr>
          <w:sz w:val="23"/>
          <w:szCs w:val="23"/>
        </w:rPr>
        <w:t>umber of Unduplicated Undergraduate and Graduate Majors</w:t>
      </w:r>
      <w:r w:rsidR="00D86FD7">
        <w:rPr>
          <w:sz w:val="23"/>
          <w:szCs w:val="23"/>
        </w:rPr>
        <w:t xml:space="preserve">: </w:t>
      </w:r>
    </w:p>
    <w:p w:rsidR="00453E31" w:rsidRDefault="00D86FD7" w:rsidP="00C61118">
      <w:pPr>
        <w:pStyle w:val="Default"/>
        <w:numPr>
          <w:ilvl w:val="0"/>
          <w:numId w:val="6"/>
        </w:numPr>
        <w:rPr>
          <w:sz w:val="23"/>
          <w:szCs w:val="23"/>
        </w:rPr>
      </w:pPr>
      <w:r>
        <w:rPr>
          <w:sz w:val="23"/>
          <w:szCs w:val="23"/>
        </w:rPr>
        <w:t>Undergraduate: 261.60</w:t>
      </w:r>
    </w:p>
    <w:p w:rsidR="00D36565" w:rsidRDefault="00D86FD7" w:rsidP="00C61118">
      <w:pPr>
        <w:pStyle w:val="Default"/>
        <w:numPr>
          <w:ilvl w:val="0"/>
          <w:numId w:val="6"/>
        </w:numPr>
        <w:rPr>
          <w:sz w:val="23"/>
          <w:szCs w:val="23"/>
        </w:rPr>
      </w:pPr>
      <w:r w:rsidRPr="00D36565">
        <w:rPr>
          <w:sz w:val="23"/>
          <w:szCs w:val="23"/>
        </w:rPr>
        <w:t>Graduate: *43</w:t>
      </w:r>
      <w:r w:rsidR="00D36565">
        <w:rPr>
          <w:sz w:val="23"/>
          <w:szCs w:val="23"/>
        </w:rPr>
        <w:t xml:space="preserve"> </w:t>
      </w:r>
    </w:p>
    <w:p w:rsidR="00D36565" w:rsidRPr="00D36565" w:rsidRDefault="00D36565" w:rsidP="00D36565">
      <w:pPr>
        <w:pStyle w:val="Default"/>
        <w:ind w:left="990"/>
        <w:rPr>
          <w:sz w:val="23"/>
          <w:szCs w:val="23"/>
        </w:rPr>
      </w:pPr>
    </w:p>
    <w:p w:rsidR="00D36565" w:rsidRDefault="00D36565" w:rsidP="00C61118">
      <w:pPr>
        <w:pStyle w:val="Default"/>
        <w:numPr>
          <w:ilvl w:val="0"/>
          <w:numId w:val="5"/>
        </w:numPr>
        <w:tabs>
          <w:tab w:val="left" w:pos="990"/>
        </w:tabs>
        <w:ind w:hanging="720"/>
        <w:rPr>
          <w:sz w:val="23"/>
          <w:szCs w:val="23"/>
        </w:rPr>
      </w:pPr>
      <w:r>
        <w:rPr>
          <w:sz w:val="23"/>
          <w:szCs w:val="23"/>
        </w:rPr>
        <w:t xml:space="preserve">Average Number of </w:t>
      </w:r>
      <w:r w:rsidR="00453E31">
        <w:rPr>
          <w:sz w:val="23"/>
          <w:szCs w:val="23"/>
        </w:rPr>
        <w:t>Degree</w:t>
      </w:r>
      <w:r>
        <w:rPr>
          <w:sz w:val="23"/>
          <w:szCs w:val="23"/>
        </w:rPr>
        <w:t>s Conferred</w:t>
      </w:r>
    </w:p>
    <w:p w:rsidR="00C61118" w:rsidRDefault="00D36565" w:rsidP="00C61118">
      <w:pPr>
        <w:pStyle w:val="Default"/>
        <w:numPr>
          <w:ilvl w:val="1"/>
          <w:numId w:val="2"/>
        </w:numPr>
        <w:rPr>
          <w:sz w:val="23"/>
          <w:szCs w:val="23"/>
        </w:rPr>
      </w:pPr>
      <w:r w:rsidRPr="00C61118">
        <w:rPr>
          <w:sz w:val="23"/>
          <w:szCs w:val="23"/>
        </w:rPr>
        <w:t>Undergraduate: 68.80</w:t>
      </w:r>
    </w:p>
    <w:p w:rsidR="00C61118" w:rsidRDefault="00D36565" w:rsidP="00C61118">
      <w:pPr>
        <w:pStyle w:val="Default"/>
        <w:numPr>
          <w:ilvl w:val="1"/>
          <w:numId w:val="2"/>
        </w:numPr>
        <w:rPr>
          <w:sz w:val="23"/>
          <w:szCs w:val="23"/>
        </w:rPr>
      </w:pPr>
      <w:r w:rsidRPr="00C61118">
        <w:rPr>
          <w:sz w:val="23"/>
          <w:szCs w:val="23"/>
        </w:rPr>
        <w:t>Graduate: *14</w:t>
      </w:r>
    </w:p>
    <w:p w:rsidR="00C61118" w:rsidRDefault="00C61118" w:rsidP="00C61118">
      <w:pPr>
        <w:pStyle w:val="Default"/>
        <w:ind w:left="1440"/>
        <w:rPr>
          <w:sz w:val="23"/>
          <w:szCs w:val="23"/>
        </w:rPr>
      </w:pPr>
    </w:p>
    <w:p w:rsidR="00D36565" w:rsidRPr="00C61118" w:rsidRDefault="00D36565" w:rsidP="00C61118">
      <w:pPr>
        <w:pStyle w:val="Default"/>
        <w:numPr>
          <w:ilvl w:val="0"/>
          <w:numId w:val="2"/>
        </w:numPr>
        <w:tabs>
          <w:tab w:val="clear" w:pos="720"/>
          <w:tab w:val="num" w:pos="990"/>
        </w:tabs>
        <w:ind w:left="990" w:hanging="270"/>
        <w:rPr>
          <w:sz w:val="23"/>
          <w:szCs w:val="23"/>
        </w:rPr>
      </w:pPr>
      <w:r w:rsidRPr="00C61118">
        <w:rPr>
          <w:sz w:val="23"/>
          <w:szCs w:val="23"/>
        </w:rPr>
        <w:t xml:space="preserve">Average </w:t>
      </w:r>
      <w:r w:rsidR="00453E31" w:rsidRPr="00C61118">
        <w:rPr>
          <w:sz w:val="23"/>
          <w:szCs w:val="23"/>
        </w:rPr>
        <w:t>Number of Undergraduate Major</w:t>
      </w:r>
      <w:r w:rsidRPr="00C61118">
        <w:rPr>
          <w:sz w:val="23"/>
          <w:szCs w:val="23"/>
        </w:rPr>
        <w:t>s/Degrees Conferred Ratio</w:t>
      </w:r>
    </w:p>
    <w:p w:rsidR="00453E31" w:rsidRDefault="00D36565" w:rsidP="00D36565">
      <w:pPr>
        <w:pStyle w:val="Default"/>
        <w:numPr>
          <w:ilvl w:val="1"/>
          <w:numId w:val="2"/>
        </w:numPr>
        <w:rPr>
          <w:sz w:val="23"/>
          <w:szCs w:val="23"/>
        </w:rPr>
      </w:pPr>
      <w:r>
        <w:rPr>
          <w:sz w:val="23"/>
          <w:szCs w:val="23"/>
        </w:rPr>
        <w:t>Undergraduate: 4.05</w:t>
      </w:r>
    </w:p>
    <w:p w:rsidR="00D36565" w:rsidRDefault="00D36565" w:rsidP="00D36565">
      <w:pPr>
        <w:pStyle w:val="Default"/>
        <w:numPr>
          <w:ilvl w:val="1"/>
          <w:numId w:val="2"/>
        </w:numPr>
        <w:rPr>
          <w:sz w:val="23"/>
          <w:szCs w:val="23"/>
        </w:rPr>
      </w:pPr>
      <w:r>
        <w:rPr>
          <w:sz w:val="23"/>
          <w:szCs w:val="23"/>
        </w:rPr>
        <w:t>Graduate: *3.07</w:t>
      </w:r>
    </w:p>
    <w:p w:rsidR="00C61118" w:rsidRDefault="00C61118" w:rsidP="00C61118">
      <w:pPr>
        <w:pStyle w:val="Default"/>
        <w:ind w:left="1440"/>
        <w:rPr>
          <w:sz w:val="23"/>
          <w:szCs w:val="23"/>
        </w:rPr>
      </w:pPr>
    </w:p>
    <w:p w:rsidR="00C61118" w:rsidRDefault="00453E31" w:rsidP="00C61118">
      <w:pPr>
        <w:pStyle w:val="Default"/>
        <w:numPr>
          <w:ilvl w:val="0"/>
          <w:numId w:val="2"/>
        </w:numPr>
        <w:tabs>
          <w:tab w:val="clear" w:pos="720"/>
          <w:tab w:val="num" w:pos="990"/>
        </w:tabs>
        <w:ind w:firstLine="0"/>
        <w:rPr>
          <w:sz w:val="23"/>
          <w:szCs w:val="23"/>
        </w:rPr>
      </w:pPr>
      <w:r w:rsidRPr="00C61118">
        <w:rPr>
          <w:sz w:val="23"/>
          <w:szCs w:val="23"/>
        </w:rPr>
        <w:t>Student Credit Hours</w:t>
      </w:r>
    </w:p>
    <w:p w:rsidR="00C61118" w:rsidRDefault="00C61118" w:rsidP="00C61118">
      <w:pPr>
        <w:pStyle w:val="Default"/>
        <w:numPr>
          <w:ilvl w:val="1"/>
          <w:numId w:val="2"/>
        </w:numPr>
        <w:rPr>
          <w:sz w:val="23"/>
          <w:szCs w:val="23"/>
        </w:rPr>
      </w:pPr>
      <w:r>
        <w:rPr>
          <w:sz w:val="23"/>
          <w:szCs w:val="23"/>
        </w:rPr>
        <w:t>Undergraduate: 3,525.80</w:t>
      </w:r>
    </w:p>
    <w:p w:rsidR="00C61118" w:rsidRDefault="00C61118" w:rsidP="00C61118">
      <w:pPr>
        <w:pStyle w:val="Default"/>
        <w:numPr>
          <w:ilvl w:val="1"/>
          <w:numId w:val="2"/>
        </w:numPr>
        <w:rPr>
          <w:sz w:val="23"/>
          <w:szCs w:val="23"/>
        </w:rPr>
      </w:pPr>
      <w:r>
        <w:rPr>
          <w:sz w:val="23"/>
          <w:szCs w:val="23"/>
        </w:rPr>
        <w:t>Graduate: 460</w:t>
      </w:r>
      <w:r w:rsidR="00453E31" w:rsidRPr="00C61118">
        <w:rPr>
          <w:sz w:val="23"/>
          <w:szCs w:val="23"/>
        </w:rPr>
        <w:t xml:space="preserve"> </w:t>
      </w:r>
    </w:p>
    <w:p w:rsidR="00C61118" w:rsidRDefault="00453E31" w:rsidP="00C61118">
      <w:pPr>
        <w:pStyle w:val="Default"/>
        <w:numPr>
          <w:ilvl w:val="1"/>
          <w:numId w:val="2"/>
        </w:numPr>
        <w:rPr>
          <w:sz w:val="23"/>
          <w:szCs w:val="23"/>
        </w:rPr>
      </w:pPr>
      <w:r w:rsidRPr="00C61118">
        <w:rPr>
          <w:sz w:val="23"/>
          <w:szCs w:val="23"/>
        </w:rPr>
        <w:t>Total Student Credit Hours</w:t>
      </w:r>
      <w:r w:rsidR="00C61118">
        <w:rPr>
          <w:sz w:val="23"/>
          <w:szCs w:val="23"/>
        </w:rPr>
        <w:t>: 3,801.80</w:t>
      </w:r>
      <w:r w:rsidRPr="00C61118">
        <w:rPr>
          <w:sz w:val="23"/>
          <w:szCs w:val="23"/>
        </w:rPr>
        <w:t xml:space="preserve"> </w:t>
      </w:r>
    </w:p>
    <w:p w:rsidR="00C61118" w:rsidRDefault="00C61118" w:rsidP="005B14C4">
      <w:pPr>
        <w:pStyle w:val="Default"/>
        <w:ind w:left="1440"/>
        <w:rPr>
          <w:sz w:val="23"/>
          <w:szCs w:val="23"/>
        </w:rPr>
      </w:pPr>
    </w:p>
    <w:p w:rsidR="00C61118" w:rsidRDefault="00453E31" w:rsidP="00C61118">
      <w:pPr>
        <w:pStyle w:val="Default"/>
        <w:numPr>
          <w:ilvl w:val="0"/>
          <w:numId w:val="2"/>
        </w:numPr>
        <w:tabs>
          <w:tab w:val="clear" w:pos="720"/>
          <w:tab w:val="num" w:pos="990"/>
        </w:tabs>
        <w:ind w:left="990" w:hanging="270"/>
        <w:rPr>
          <w:sz w:val="23"/>
          <w:szCs w:val="23"/>
        </w:rPr>
      </w:pPr>
      <w:r w:rsidRPr="005B14C4">
        <w:rPr>
          <w:sz w:val="23"/>
          <w:szCs w:val="23"/>
        </w:rPr>
        <w:t>Average Class Size</w:t>
      </w:r>
    </w:p>
    <w:p w:rsidR="005B14C4" w:rsidRDefault="00453E31" w:rsidP="005B14C4">
      <w:pPr>
        <w:pStyle w:val="Default"/>
        <w:numPr>
          <w:ilvl w:val="1"/>
          <w:numId w:val="2"/>
        </w:numPr>
        <w:tabs>
          <w:tab w:val="left" w:pos="990"/>
        </w:tabs>
        <w:rPr>
          <w:sz w:val="23"/>
          <w:szCs w:val="23"/>
        </w:rPr>
      </w:pPr>
      <w:r w:rsidRPr="005B14C4">
        <w:rPr>
          <w:sz w:val="23"/>
          <w:szCs w:val="23"/>
        </w:rPr>
        <w:t xml:space="preserve"> </w:t>
      </w:r>
      <w:r w:rsidR="00C61118" w:rsidRPr="005B14C4">
        <w:rPr>
          <w:sz w:val="23"/>
          <w:szCs w:val="23"/>
        </w:rPr>
        <w:t>Undergraduate</w:t>
      </w:r>
      <w:r w:rsidR="005B14C4" w:rsidRPr="005B14C4">
        <w:rPr>
          <w:sz w:val="23"/>
          <w:szCs w:val="23"/>
        </w:rPr>
        <w:t>: 16.02</w:t>
      </w:r>
    </w:p>
    <w:p w:rsidR="00453E31" w:rsidRPr="005B14C4" w:rsidRDefault="00453E31" w:rsidP="005B14C4">
      <w:pPr>
        <w:pStyle w:val="Default"/>
        <w:numPr>
          <w:ilvl w:val="1"/>
          <w:numId w:val="2"/>
        </w:numPr>
        <w:tabs>
          <w:tab w:val="left" w:pos="990"/>
        </w:tabs>
        <w:rPr>
          <w:sz w:val="23"/>
          <w:szCs w:val="23"/>
        </w:rPr>
      </w:pPr>
      <w:r w:rsidRPr="005B14C4">
        <w:rPr>
          <w:sz w:val="23"/>
          <w:szCs w:val="23"/>
        </w:rPr>
        <w:t xml:space="preserve"> Graduate </w:t>
      </w:r>
      <w:r w:rsidR="005B14C4">
        <w:rPr>
          <w:sz w:val="23"/>
          <w:szCs w:val="23"/>
        </w:rPr>
        <w:t>:18.87</w:t>
      </w:r>
    </w:p>
    <w:p w:rsidR="00453E31" w:rsidRDefault="00453E31" w:rsidP="00453E31">
      <w:pPr>
        <w:pStyle w:val="Default"/>
        <w:ind w:left="720"/>
        <w:rPr>
          <w:sz w:val="23"/>
          <w:szCs w:val="23"/>
        </w:rPr>
      </w:pPr>
    </w:p>
    <w:p w:rsidR="00353293" w:rsidRDefault="00453E31" w:rsidP="00353293">
      <w:pPr>
        <w:pStyle w:val="Default"/>
        <w:numPr>
          <w:ilvl w:val="0"/>
          <w:numId w:val="2"/>
        </w:numPr>
        <w:tabs>
          <w:tab w:val="clear" w:pos="720"/>
          <w:tab w:val="num" w:pos="990"/>
        </w:tabs>
        <w:ind w:firstLine="0"/>
        <w:rPr>
          <w:sz w:val="23"/>
          <w:szCs w:val="23"/>
        </w:rPr>
      </w:pPr>
      <w:r w:rsidRPr="00730B2F">
        <w:rPr>
          <w:sz w:val="23"/>
          <w:szCs w:val="23"/>
        </w:rPr>
        <w:t>Number of Ful</w:t>
      </w:r>
      <w:r w:rsidR="00730B2F">
        <w:rPr>
          <w:sz w:val="23"/>
          <w:szCs w:val="23"/>
        </w:rPr>
        <w:t>l-time Faculty : *7</w:t>
      </w:r>
    </w:p>
    <w:p w:rsidR="00730B2F" w:rsidRPr="00730B2F" w:rsidRDefault="00730B2F" w:rsidP="00730B2F">
      <w:pPr>
        <w:pStyle w:val="Default"/>
        <w:ind w:left="1440" w:hanging="90"/>
        <w:rPr>
          <w:sz w:val="23"/>
          <w:szCs w:val="23"/>
        </w:rPr>
      </w:pPr>
      <w:r>
        <w:rPr>
          <w:sz w:val="23"/>
          <w:szCs w:val="23"/>
        </w:rPr>
        <w:t>* Institutional Research, Planning and Assessment data mistakenly reports 5 due to a   coding error</w:t>
      </w:r>
    </w:p>
    <w:p w:rsidR="00353293" w:rsidRPr="00730B2F" w:rsidRDefault="00353293" w:rsidP="00353293">
      <w:pPr>
        <w:pStyle w:val="Default"/>
        <w:ind w:left="1440"/>
        <w:rPr>
          <w:sz w:val="23"/>
          <w:szCs w:val="23"/>
        </w:rPr>
      </w:pPr>
    </w:p>
    <w:p w:rsidR="00353293" w:rsidRPr="00730B2F" w:rsidRDefault="00353293" w:rsidP="00353293">
      <w:pPr>
        <w:pStyle w:val="Default"/>
        <w:numPr>
          <w:ilvl w:val="0"/>
          <w:numId w:val="2"/>
        </w:numPr>
        <w:tabs>
          <w:tab w:val="clear" w:pos="720"/>
          <w:tab w:val="num" w:pos="990"/>
        </w:tabs>
        <w:ind w:firstLine="0"/>
        <w:rPr>
          <w:sz w:val="23"/>
          <w:szCs w:val="23"/>
        </w:rPr>
      </w:pPr>
      <w:r w:rsidRPr="00730B2F">
        <w:rPr>
          <w:sz w:val="23"/>
          <w:szCs w:val="23"/>
        </w:rPr>
        <w:t>Number of Part-time/Adjunct Faculty</w:t>
      </w:r>
      <w:r w:rsidR="00730B2F">
        <w:rPr>
          <w:sz w:val="23"/>
          <w:szCs w:val="23"/>
        </w:rPr>
        <w:t>: 1</w:t>
      </w:r>
    </w:p>
    <w:p w:rsidR="00453E31" w:rsidRPr="00730B2F" w:rsidRDefault="00453E31" w:rsidP="00453E31">
      <w:pPr>
        <w:pStyle w:val="Default"/>
        <w:ind w:left="720"/>
        <w:rPr>
          <w:sz w:val="23"/>
          <w:szCs w:val="23"/>
        </w:rPr>
      </w:pPr>
    </w:p>
    <w:p w:rsidR="006037DD" w:rsidRPr="00730B2F" w:rsidRDefault="00453E31" w:rsidP="006037DD">
      <w:pPr>
        <w:pStyle w:val="Default"/>
        <w:numPr>
          <w:ilvl w:val="0"/>
          <w:numId w:val="2"/>
        </w:numPr>
        <w:tabs>
          <w:tab w:val="clear" w:pos="720"/>
          <w:tab w:val="num" w:pos="990"/>
        </w:tabs>
        <w:ind w:firstLine="0"/>
        <w:rPr>
          <w:sz w:val="23"/>
          <w:szCs w:val="23"/>
        </w:rPr>
      </w:pPr>
      <w:r w:rsidRPr="00730B2F">
        <w:rPr>
          <w:sz w:val="23"/>
          <w:szCs w:val="23"/>
        </w:rPr>
        <w:t xml:space="preserve">FTE Student/FTE Faculty Ratio (as per U.S. News definition): </w:t>
      </w:r>
      <w:r w:rsidR="00730B2F">
        <w:rPr>
          <w:sz w:val="23"/>
          <w:szCs w:val="23"/>
        </w:rPr>
        <w:t>33.01</w:t>
      </w:r>
    </w:p>
    <w:p w:rsidR="00453E31" w:rsidRPr="00730B2F" w:rsidRDefault="00453E31" w:rsidP="00453E31">
      <w:pPr>
        <w:pStyle w:val="Default"/>
        <w:ind w:left="720"/>
        <w:rPr>
          <w:sz w:val="23"/>
          <w:szCs w:val="23"/>
        </w:rPr>
      </w:pPr>
    </w:p>
    <w:p w:rsidR="00453E31" w:rsidRDefault="00453E31" w:rsidP="00453E31">
      <w:pPr>
        <w:pStyle w:val="Default"/>
        <w:ind w:left="720"/>
        <w:rPr>
          <w:sz w:val="23"/>
          <w:szCs w:val="23"/>
        </w:rPr>
      </w:pPr>
      <w:r w:rsidRPr="00730B2F">
        <w:rPr>
          <w:sz w:val="23"/>
          <w:szCs w:val="23"/>
        </w:rPr>
        <w:t>8. Cre</w:t>
      </w:r>
      <w:r w:rsidR="00353293" w:rsidRPr="00730B2F">
        <w:rPr>
          <w:sz w:val="23"/>
          <w:szCs w:val="23"/>
        </w:rPr>
        <w:t>dit Hours/FTE Faculty:</w:t>
      </w:r>
      <w:r w:rsidR="00353293">
        <w:rPr>
          <w:sz w:val="23"/>
          <w:szCs w:val="23"/>
        </w:rPr>
        <w:t xml:space="preserve"> </w:t>
      </w:r>
      <w:r w:rsidR="00730B2F">
        <w:rPr>
          <w:sz w:val="23"/>
          <w:szCs w:val="23"/>
        </w:rPr>
        <w:t>9945</w:t>
      </w:r>
    </w:p>
    <w:p w:rsidR="00453E31" w:rsidRDefault="00453E31" w:rsidP="00453E31">
      <w:pPr>
        <w:pStyle w:val="Default"/>
        <w:ind w:left="720"/>
        <w:rPr>
          <w:sz w:val="23"/>
          <w:szCs w:val="23"/>
        </w:rPr>
      </w:pPr>
    </w:p>
    <w:p w:rsidR="00453E31" w:rsidRDefault="00453E31" w:rsidP="00453E31">
      <w:pPr>
        <w:pStyle w:val="Default"/>
        <w:ind w:left="720"/>
        <w:rPr>
          <w:sz w:val="23"/>
          <w:szCs w:val="23"/>
        </w:rPr>
      </w:pPr>
      <w:r>
        <w:rPr>
          <w:sz w:val="23"/>
          <w:szCs w:val="23"/>
        </w:rPr>
        <w:t>9. Department Expenditures (including Actual Personne</w:t>
      </w:r>
      <w:r w:rsidR="006037DD">
        <w:rPr>
          <w:sz w:val="23"/>
          <w:szCs w:val="23"/>
        </w:rPr>
        <w:t>l and Non-Personnel): $349.102.0</w:t>
      </w:r>
      <w:r>
        <w:rPr>
          <w:sz w:val="23"/>
          <w:szCs w:val="23"/>
        </w:rPr>
        <w:t xml:space="preserve">0 </w:t>
      </w:r>
    </w:p>
    <w:p w:rsidR="00453E31" w:rsidRDefault="00453E31" w:rsidP="00453E31">
      <w:pPr>
        <w:pStyle w:val="Default"/>
        <w:ind w:left="720"/>
        <w:rPr>
          <w:sz w:val="23"/>
          <w:szCs w:val="23"/>
        </w:rPr>
      </w:pPr>
    </w:p>
    <w:p w:rsidR="00453E31" w:rsidRDefault="00453E31" w:rsidP="00453E31">
      <w:pPr>
        <w:pStyle w:val="Default"/>
        <w:ind w:left="720"/>
        <w:rPr>
          <w:sz w:val="23"/>
          <w:szCs w:val="23"/>
        </w:rPr>
      </w:pPr>
      <w:r>
        <w:rPr>
          <w:sz w:val="23"/>
          <w:szCs w:val="23"/>
        </w:rPr>
        <w:t>1</w:t>
      </w:r>
      <w:r w:rsidR="006037DD">
        <w:rPr>
          <w:sz w:val="23"/>
          <w:szCs w:val="23"/>
        </w:rPr>
        <w:t>0. Cost Per Credit Hour: $91.73</w:t>
      </w:r>
    </w:p>
    <w:p w:rsidR="004B7803" w:rsidRDefault="004B7803" w:rsidP="004B7803"/>
    <w:p w:rsidR="00730B2F" w:rsidRDefault="00730B2F" w:rsidP="004B7803"/>
    <w:p w:rsidR="004B7803" w:rsidRDefault="004B7803" w:rsidP="004B7803"/>
    <w:p w:rsidR="004750A3" w:rsidRPr="00BB317C" w:rsidRDefault="00BB317C" w:rsidP="004750A3">
      <w:pPr>
        <w:rPr>
          <w:b/>
          <w:u w:val="single"/>
        </w:rPr>
      </w:pPr>
      <w:r w:rsidRPr="00BB317C">
        <w:rPr>
          <w:b/>
          <w:u w:val="single"/>
        </w:rPr>
        <w:lastRenderedPageBreak/>
        <w:t>Assess the Department as it Relates to S</w:t>
      </w:r>
      <w:r w:rsidR="004750A3" w:rsidRPr="00BB317C">
        <w:rPr>
          <w:b/>
          <w:u w:val="single"/>
        </w:rPr>
        <w:t>tudents</w:t>
      </w:r>
    </w:p>
    <w:p w:rsidR="004750A3" w:rsidRDefault="004750A3" w:rsidP="004750A3">
      <w:pPr>
        <w:ind w:left="360"/>
      </w:pPr>
    </w:p>
    <w:p w:rsidR="004750A3" w:rsidRPr="00BB317C" w:rsidRDefault="004750A3" w:rsidP="00AC17B7">
      <w:pPr>
        <w:rPr>
          <w:b/>
        </w:rPr>
      </w:pPr>
      <w:r w:rsidRPr="00BB317C">
        <w:rPr>
          <w:b/>
        </w:rPr>
        <w:t>Enrollment</w:t>
      </w:r>
      <w:r w:rsidR="00707C76">
        <w:rPr>
          <w:b/>
        </w:rPr>
        <w:t xml:space="preserve"> and Degree Productivity</w:t>
      </w:r>
    </w:p>
    <w:p w:rsidR="002C6BAD" w:rsidRDefault="002C6BAD" w:rsidP="002C6BAD">
      <w:pPr>
        <w:ind w:left="1080"/>
      </w:pPr>
    </w:p>
    <w:p w:rsidR="005A5504" w:rsidRDefault="004E6BC0" w:rsidP="00F62957">
      <w:pPr>
        <w:spacing w:after="200" w:line="276" w:lineRule="auto"/>
        <w:ind w:firstLine="450"/>
        <w:contextualSpacing/>
        <w:rPr>
          <w:rFonts w:eastAsiaTheme="minorHAnsi"/>
        </w:rPr>
      </w:pPr>
      <w:r>
        <w:rPr>
          <w:rFonts w:eastAsiaTheme="minorHAnsi"/>
        </w:rPr>
        <w:t xml:space="preserve">The Online Nursing Department has experienced significant and ongoing growth since it was established in January, 2001.  The Online Nursing program was established to eliminate barriers of time and place that prevent Registered Nurses with Associate degrees from continuing their education.  In August of 2000, there were only 12 RNs enrolled in the on-campus RN to BSN program.  In January, 2001, we enrolled 44 students in the RN to BSN Online option and the </w:t>
      </w:r>
      <w:r w:rsidR="0037206D">
        <w:rPr>
          <w:rFonts w:eastAsiaTheme="minorHAnsi"/>
        </w:rPr>
        <w:t xml:space="preserve">enrollment </w:t>
      </w:r>
      <w:r>
        <w:rPr>
          <w:rFonts w:eastAsiaTheme="minorHAnsi"/>
        </w:rPr>
        <w:t xml:space="preserve">growth has continued.  </w:t>
      </w:r>
    </w:p>
    <w:p w:rsidR="00F62957" w:rsidRDefault="005A5504" w:rsidP="00F62957">
      <w:pPr>
        <w:spacing w:after="200" w:line="276" w:lineRule="auto"/>
        <w:ind w:firstLine="450"/>
        <w:contextualSpacing/>
        <w:rPr>
          <w:rFonts w:eastAsiaTheme="minorHAnsi"/>
        </w:rPr>
      </w:pPr>
      <w:r>
        <w:rPr>
          <w:rFonts w:eastAsiaTheme="minorHAnsi"/>
        </w:rPr>
        <w:t>In 2007-2008, e</w:t>
      </w:r>
      <w:r w:rsidR="004E6BC0">
        <w:rPr>
          <w:rFonts w:eastAsiaTheme="minorHAnsi"/>
        </w:rPr>
        <w:t>nrollment peaked</w:t>
      </w:r>
      <w:r w:rsidR="00B12944">
        <w:rPr>
          <w:rFonts w:eastAsiaTheme="minorHAnsi"/>
        </w:rPr>
        <w:t xml:space="preserve"> at 320</w:t>
      </w:r>
      <w:r>
        <w:rPr>
          <w:rFonts w:eastAsiaTheme="minorHAnsi"/>
        </w:rPr>
        <w:t xml:space="preserve"> students </w:t>
      </w:r>
      <w:r w:rsidR="00B12944">
        <w:rPr>
          <w:rFonts w:eastAsiaTheme="minorHAnsi"/>
        </w:rPr>
        <w:t>and</w:t>
      </w:r>
      <w:r w:rsidR="004E6BC0">
        <w:rPr>
          <w:rFonts w:eastAsiaTheme="minorHAnsi"/>
        </w:rPr>
        <w:t xml:space="preserve"> </w:t>
      </w:r>
      <w:r w:rsidR="0037206D">
        <w:rPr>
          <w:rFonts w:eastAsiaTheme="minorHAnsi"/>
        </w:rPr>
        <w:t>was</w:t>
      </w:r>
      <w:r w:rsidR="00B12944">
        <w:rPr>
          <w:rFonts w:eastAsiaTheme="minorHAnsi"/>
        </w:rPr>
        <w:t xml:space="preserve"> difficult to sustain in light of </w:t>
      </w:r>
      <w:r w:rsidR="0037206D">
        <w:rPr>
          <w:rFonts w:eastAsiaTheme="minorHAnsi"/>
        </w:rPr>
        <w:t xml:space="preserve">state appropriation education </w:t>
      </w:r>
      <w:r w:rsidR="00B12944">
        <w:rPr>
          <w:rFonts w:eastAsiaTheme="minorHAnsi"/>
        </w:rPr>
        <w:t>budget cuts and</w:t>
      </w:r>
      <w:r w:rsidR="0037206D">
        <w:rPr>
          <w:rFonts w:eastAsiaTheme="minorHAnsi"/>
        </w:rPr>
        <w:t xml:space="preserve"> the</w:t>
      </w:r>
      <w:r w:rsidR="00B12944">
        <w:rPr>
          <w:rFonts w:eastAsiaTheme="minorHAnsi"/>
        </w:rPr>
        <w:t xml:space="preserve"> lack of nursing faculty qualified to teach online.  The enrollment increase</w:t>
      </w:r>
      <w:r w:rsidR="0037206D">
        <w:rPr>
          <w:rFonts w:eastAsiaTheme="minorHAnsi"/>
        </w:rPr>
        <w:t xml:space="preserve"> in 2007-2008 is likely </w:t>
      </w:r>
      <w:r w:rsidR="00B12944">
        <w:rPr>
          <w:rFonts w:eastAsiaTheme="minorHAnsi"/>
        </w:rPr>
        <w:t xml:space="preserve">related to several factors.  </w:t>
      </w:r>
      <w:r>
        <w:rPr>
          <w:rFonts w:eastAsiaTheme="minorHAnsi"/>
        </w:rPr>
        <w:t>Because RN to BSN s</w:t>
      </w:r>
      <w:r w:rsidR="00D51ABB">
        <w:rPr>
          <w:rFonts w:eastAsiaTheme="minorHAnsi"/>
        </w:rPr>
        <w:t>tudents are working adults with family and</w:t>
      </w:r>
      <w:r w:rsidR="004E6BC0">
        <w:rPr>
          <w:rFonts w:eastAsiaTheme="minorHAnsi"/>
        </w:rPr>
        <w:t xml:space="preserve">The vast majority of </w:t>
      </w:r>
      <w:r w:rsidR="00B12944">
        <w:rPr>
          <w:rFonts w:eastAsiaTheme="minorHAnsi"/>
        </w:rPr>
        <w:t xml:space="preserve">online nursing </w:t>
      </w:r>
      <w:r w:rsidR="004E6BC0">
        <w:rPr>
          <w:rFonts w:eastAsiaTheme="minorHAnsi"/>
        </w:rPr>
        <w:t>stude</w:t>
      </w:r>
      <w:r w:rsidR="00335D39">
        <w:rPr>
          <w:rFonts w:eastAsiaTheme="minorHAnsi"/>
        </w:rPr>
        <w:t>nts enroll on a part-time basis</w:t>
      </w:r>
      <w:r w:rsidR="00B12944">
        <w:rPr>
          <w:rFonts w:eastAsiaTheme="minorHAnsi"/>
        </w:rPr>
        <w:t>.  M</w:t>
      </w:r>
      <w:r w:rsidR="00335D39">
        <w:rPr>
          <w:rFonts w:eastAsiaTheme="minorHAnsi"/>
        </w:rPr>
        <w:t>any</w:t>
      </w:r>
      <w:r w:rsidR="00B12944">
        <w:rPr>
          <w:rFonts w:eastAsiaTheme="minorHAnsi"/>
        </w:rPr>
        <w:t xml:space="preserve"> students</w:t>
      </w:r>
      <w:r>
        <w:rPr>
          <w:rFonts w:eastAsiaTheme="minorHAnsi"/>
        </w:rPr>
        <w:t xml:space="preserve"> do not enroll in consecutive</w:t>
      </w:r>
      <w:r w:rsidR="00335D39">
        <w:rPr>
          <w:rFonts w:eastAsiaTheme="minorHAnsi"/>
        </w:rPr>
        <w:t xml:space="preserve"> semester</w:t>
      </w:r>
      <w:r>
        <w:rPr>
          <w:rFonts w:eastAsiaTheme="minorHAnsi"/>
        </w:rPr>
        <w:t>s</w:t>
      </w:r>
      <w:r w:rsidR="00335D39">
        <w:rPr>
          <w:rFonts w:eastAsiaTheme="minorHAnsi"/>
        </w:rPr>
        <w:t xml:space="preserve">, thus at any given time, there are </w:t>
      </w:r>
      <w:r w:rsidR="00B12944">
        <w:rPr>
          <w:rFonts w:eastAsiaTheme="minorHAnsi"/>
        </w:rPr>
        <w:t xml:space="preserve">a number of </w:t>
      </w:r>
      <w:r w:rsidR="00335D39">
        <w:rPr>
          <w:rFonts w:eastAsiaTheme="minorHAnsi"/>
        </w:rPr>
        <w:t>students who may lack only a few credits to graduate</w:t>
      </w:r>
      <w:r w:rsidR="0037206D">
        <w:rPr>
          <w:rFonts w:eastAsiaTheme="minorHAnsi"/>
        </w:rPr>
        <w:t>, but are not currently enrolled</w:t>
      </w:r>
      <w:r w:rsidR="00335D39">
        <w:rPr>
          <w:rFonts w:eastAsiaTheme="minorHAnsi"/>
        </w:rPr>
        <w:t xml:space="preserve">.  </w:t>
      </w:r>
      <w:r w:rsidR="0030631B">
        <w:rPr>
          <w:rFonts w:eastAsiaTheme="minorHAnsi"/>
        </w:rPr>
        <w:t>The</w:t>
      </w:r>
      <w:r w:rsidR="00335D39">
        <w:rPr>
          <w:rFonts w:eastAsiaTheme="minorHAnsi"/>
        </w:rPr>
        <w:t xml:space="preserve"> </w:t>
      </w:r>
      <w:r w:rsidR="0030631B">
        <w:rPr>
          <w:rFonts w:eastAsiaTheme="minorHAnsi"/>
        </w:rPr>
        <w:t>decline in our</w:t>
      </w:r>
      <w:r w:rsidR="004E6BC0">
        <w:rPr>
          <w:rFonts w:eastAsiaTheme="minorHAnsi"/>
        </w:rPr>
        <w:t xml:space="preserve"> national economy</w:t>
      </w:r>
      <w:r w:rsidR="0030631B">
        <w:rPr>
          <w:rFonts w:eastAsiaTheme="minorHAnsi"/>
        </w:rPr>
        <w:t xml:space="preserve"> in 2007 prompted fears of lay-offs in many locations</w:t>
      </w:r>
      <w:r w:rsidR="0037206D">
        <w:rPr>
          <w:rFonts w:eastAsiaTheme="minorHAnsi"/>
        </w:rPr>
        <w:t xml:space="preserve">.  In hospital settings, </w:t>
      </w:r>
      <w:r w:rsidR="0030631B">
        <w:rPr>
          <w:rFonts w:eastAsiaTheme="minorHAnsi"/>
        </w:rPr>
        <w:t xml:space="preserve">nurses without </w:t>
      </w:r>
      <w:r w:rsidR="0037206D">
        <w:rPr>
          <w:rFonts w:eastAsiaTheme="minorHAnsi"/>
        </w:rPr>
        <w:t xml:space="preserve"> the BSN are</w:t>
      </w:r>
      <w:r w:rsidR="0030631B">
        <w:rPr>
          <w:rFonts w:eastAsiaTheme="minorHAnsi"/>
        </w:rPr>
        <w:t xml:space="preserve"> often </w:t>
      </w:r>
      <w:r w:rsidR="0037206D">
        <w:rPr>
          <w:rFonts w:eastAsiaTheme="minorHAnsi"/>
        </w:rPr>
        <w:t xml:space="preserve">be </w:t>
      </w:r>
      <w:r w:rsidR="0030631B">
        <w:rPr>
          <w:rFonts w:eastAsiaTheme="minorHAnsi"/>
        </w:rPr>
        <w:t>the first to be laid-off</w:t>
      </w:r>
      <w:r w:rsidR="0037206D">
        <w:rPr>
          <w:rFonts w:eastAsiaTheme="minorHAnsi"/>
        </w:rPr>
        <w:t xml:space="preserve">.  Based on conversations from several returning students, they wanted to have their degree to avoid possible lay-off.  We saw several </w:t>
      </w:r>
      <w:r w:rsidR="0030631B">
        <w:rPr>
          <w:rFonts w:eastAsiaTheme="minorHAnsi"/>
        </w:rPr>
        <w:t xml:space="preserve">previously enrolled </w:t>
      </w:r>
      <w:r w:rsidR="0037206D">
        <w:rPr>
          <w:rFonts w:eastAsiaTheme="minorHAnsi"/>
        </w:rPr>
        <w:t xml:space="preserve">students </w:t>
      </w:r>
      <w:r w:rsidR="00335D39">
        <w:rPr>
          <w:rFonts w:eastAsiaTheme="minorHAnsi"/>
        </w:rPr>
        <w:t>re</w:t>
      </w:r>
      <w:r w:rsidR="0037206D">
        <w:rPr>
          <w:rFonts w:eastAsiaTheme="minorHAnsi"/>
        </w:rPr>
        <w:t>turn</w:t>
      </w:r>
      <w:r w:rsidR="00335D39">
        <w:rPr>
          <w:rFonts w:eastAsiaTheme="minorHAnsi"/>
        </w:rPr>
        <w:t xml:space="preserve"> to finish their degree</w:t>
      </w:r>
      <w:r w:rsidR="0030631B">
        <w:rPr>
          <w:rFonts w:eastAsiaTheme="minorHAnsi"/>
        </w:rPr>
        <w:t xml:space="preserve"> requirements.  </w:t>
      </w:r>
      <w:r w:rsidR="00335D39">
        <w:rPr>
          <w:rFonts w:eastAsiaTheme="minorHAnsi"/>
        </w:rPr>
        <w:t xml:space="preserve">Additionally, many hospitals </w:t>
      </w:r>
      <w:r w:rsidR="0030631B">
        <w:rPr>
          <w:rFonts w:eastAsiaTheme="minorHAnsi"/>
        </w:rPr>
        <w:t xml:space="preserve">across the nation </w:t>
      </w:r>
      <w:r w:rsidR="00335D39">
        <w:rPr>
          <w:rFonts w:eastAsiaTheme="minorHAnsi"/>
        </w:rPr>
        <w:t>began requiring all nurses in leadership</w:t>
      </w:r>
      <w:r w:rsidR="00707C76">
        <w:rPr>
          <w:rFonts w:eastAsiaTheme="minorHAnsi"/>
        </w:rPr>
        <w:t>/</w:t>
      </w:r>
      <w:r w:rsidR="001345F6">
        <w:rPr>
          <w:rFonts w:eastAsiaTheme="minorHAnsi"/>
        </w:rPr>
        <w:t>management</w:t>
      </w:r>
      <w:r w:rsidR="00335D39">
        <w:rPr>
          <w:rFonts w:eastAsiaTheme="minorHAnsi"/>
        </w:rPr>
        <w:t xml:space="preserve"> positions to have the BSN</w:t>
      </w:r>
      <w:r w:rsidR="0037206D">
        <w:rPr>
          <w:rFonts w:eastAsiaTheme="minorHAnsi"/>
        </w:rPr>
        <w:t xml:space="preserve"> at minimum</w:t>
      </w:r>
      <w:r w:rsidR="00707C76">
        <w:rPr>
          <w:rFonts w:eastAsiaTheme="minorHAnsi"/>
        </w:rPr>
        <w:t xml:space="preserve"> and some institutions gave a time-line of 3 years for them to have the MSN.  </w:t>
      </w:r>
      <w:r w:rsidR="00335D39">
        <w:rPr>
          <w:rFonts w:eastAsiaTheme="minorHAnsi"/>
        </w:rPr>
        <w:t xml:space="preserve">These </w:t>
      </w:r>
      <w:r w:rsidR="0030631B">
        <w:rPr>
          <w:rFonts w:eastAsiaTheme="minorHAnsi"/>
        </w:rPr>
        <w:t xml:space="preserve">two </w:t>
      </w:r>
      <w:r w:rsidR="00335D39">
        <w:rPr>
          <w:rFonts w:eastAsiaTheme="minorHAnsi"/>
        </w:rPr>
        <w:t xml:space="preserve">factors likely </w:t>
      </w:r>
      <w:r w:rsidR="0030631B">
        <w:rPr>
          <w:rFonts w:eastAsiaTheme="minorHAnsi"/>
        </w:rPr>
        <w:t xml:space="preserve">contributed to </w:t>
      </w:r>
      <w:r w:rsidR="00335D39">
        <w:rPr>
          <w:rFonts w:eastAsiaTheme="minorHAnsi"/>
        </w:rPr>
        <w:t>the spike in enrollment</w:t>
      </w:r>
      <w:r w:rsidR="00F44A50">
        <w:rPr>
          <w:rFonts w:eastAsiaTheme="minorHAnsi"/>
        </w:rPr>
        <w:t xml:space="preserve"> and in degrees conferred </w:t>
      </w:r>
      <w:r w:rsidR="00335D39">
        <w:rPr>
          <w:rFonts w:eastAsiaTheme="minorHAnsi"/>
        </w:rPr>
        <w:t>in 2</w:t>
      </w:r>
      <w:r w:rsidR="003E21EC">
        <w:rPr>
          <w:rFonts w:eastAsiaTheme="minorHAnsi"/>
        </w:rPr>
        <w:t>007-2008 as illustrated in Chart</w:t>
      </w:r>
      <w:r w:rsidR="00335D39">
        <w:rPr>
          <w:rFonts w:eastAsiaTheme="minorHAnsi"/>
        </w:rPr>
        <w:t xml:space="preserve"> 1.</w:t>
      </w:r>
      <w:r w:rsidR="00373417">
        <w:rPr>
          <w:rFonts w:eastAsiaTheme="minorHAnsi"/>
        </w:rPr>
        <w:t xml:space="preserve">  </w:t>
      </w:r>
    </w:p>
    <w:p w:rsidR="00373417" w:rsidRDefault="00373417" w:rsidP="00373417">
      <w:pPr>
        <w:spacing w:after="200" w:line="276" w:lineRule="auto"/>
        <w:contextualSpacing/>
        <w:rPr>
          <w:rFonts w:eastAsiaTheme="minorHAnsi"/>
          <w:b/>
        </w:rPr>
      </w:pPr>
      <w:r>
        <w:rPr>
          <w:rFonts w:eastAsiaTheme="minorHAnsi"/>
          <w:b/>
        </w:rPr>
        <w:t xml:space="preserve">             </w:t>
      </w:r>
    </w:p>
    <w:p w:rsidR="00373417" w:rsidRDefault="00373417" w:rsidP="00373417">
      <w:pPr>
        <w:spacing w:after="200" w:line="276" w:lineRule="auto"/>
        <w:contextualSpacing/>
        <w:rPr>
          <w:rFonts w:eastAsiaTheme="minorHAnsi"/>
          <w:b/>
        </w:rPr>
      </w:pPr>
      <w:r>
        <w:rPr>
          <w:rFonts w:eastAsiaTheme="minorHAnsi"/>
          <w:b/>
        </w:rPr>
        <w:t xml:space="preserve">                 </w:t>
      </w:r>
      <w:r w:rsidR="008D33F4">
        <w:rPr>
          <w:rFonts w:eastAsiaTheme="minorHAnsi"/>
          <w:b/>
        </w:rPr>
        <w:t xml:space="preserve">    </w:t>
      </w:r>
      <w:r>
        <w:rPr>
          <w:rFonts w:eastAsiaTheme="minorHAnsi"/>
          <w:b/>
        </w:rPr>
        <w:t>Chart</w:t>
      </w:r>
      <w:r w:rsidRPr="00F44A50">
        <w:rPr>
          <w:rFonts w:eastAsiaTheme="minorHAnsi"/>
          <w:b/>
        </w:rPr>
        <w:t xml:space="preserve"> 1. Undergraduate Enrollment &amp; Degrees Conferred</w:t>
      </w:r>
      <w:r>
        <w:rPr>
          <w:rFonts w:eastAsiaTheme="minorHAnsi"/>
          <w:b/>
        </w:rPr>
        <w:t xml:space="preserve"> </w:t>
      </w:r>
    </w:p>
    <w:p w:rsidR="00373417" w:rsidRDefault="00373417" w:rsidP="00373417">
      <w:pPr>
        <w:spacing w:after="200" w:line="276" w:lineRule="auto"/>
        <w:contextualSpacing/>
        <w:jc w:val="center"/>
        <w:rPr>
          <w:rFonts w:eastAsiaTheme="minorHAnsi"/>
        </w:rPr>
      </w:pPr>
      <w:r w:rsidRPr="00F62957">
        <w:rPr>
          <w:rFonts w:eastAsiaTheme="minorHAnsi"/>
          <w:noProof/>
        </w:rPr>
        <w:drawing>
          <wp:inline distT="0" distB="0" distL="0" distR="0">
            <wp:extent cx="4752975" cy="2447925"/>
            <wp:effectExtent l="0" t="0" r="0"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9CF" w:rsidRDefault="00373417" w:rsidP="00F62957">
      <w:pPr>
        <w:spacing w:after="200" w:line="276" w:lineRule="auto"/>
        <w:ind w:firstLine="450"/>
        <w:contextualSpacing/>
        <w:rPr>
          <w:rFonts w:eastAsiaTheme="minorHAnsi"/>
          <w:b/>
        </w:rPr>
      </w:pPr>
      <w:r>
        <w:rPr>
          <w:rFonts w:eastAsiaTheme="minorHAnsi"/>
          <w:b/>
        </w:rPr>
        <w:t xml:space="preserve"> </w:t>
      </w:r>
    </w:p>
    <w:p w:rsidR="0030631B" w:rsidRPr="00F44A50" w:rsidRDefault="00F44A50" w:rsidP="00F62957">
      <w:pPr>
        <w:spacing w:after="200" w:line="276" w:lineRule="auto"/>
        <w:ind w:firstLine="450"/>
        <w:contextualSpacing/>
        <w:rPr>
          <w:rFonts w:eastAsiaTheme="minorHAnsi"/>
        </w:rPr>
      </w:pPr>
      <w:r>
        <w:rPr>
          <w:rFonts w:eastAsiaTheme="minorHAnsi"/>
        </w:rPr>
        <w:t>In August of 2006, after MANY years of effort, the  Online MSN degree program was fully implemented with two degree tracks:</w:t>
      </w:r>
      <w:r w:rsidRPr="00F44A50">
        <w:t xml:space="preserve">“Nursing in Teaching-Learning Environments” and </w:t>
      </w:r>
      <w:r w:rsidRPr="00F44A50">
        <w:lastRenderedPageBreak/>
        <w:t xml:space="preserve">“Nursing Leadership in Organizational Environments.” </w:t>
      </w:r>
      <w:r w:rsidR="00B12944">
        <w:t xml:space="preserve"> As is the RN to BSN online option, t</w:t>
      </w:r>
      <w:r w:rsidRPr="00F44A50">
        <w:t xml:space="preserve">he </w:t>
      </w:r>
      <w:r w:rsidR="00B12944">
        <w:t xml:space="preserve">MSN degree </w:t>
      </w:r>
      <w:r w:rsidRPr="00F44A50">
        <w:t>program is completely online in an asynchronous format.</w:t>
      </w:r>
      <w:r w:rsidR="00B12944">
        <w:t xml:space="preserve">  Enrollment steadily inc</w:t>
      </w:r>
      <w:r w:rsidR="00707C76">
        <w:t xml:space="preserve">reased and doubled in </w:t>
      </w:r>
      <w:r w:rsidR="00B12944">
        <w:t>within 3 years.</w:t>
      </w:r>
      <w:r w:rsidR="00707C76">
        <w:t xml:space="preserve">  </w:t>
      </w:r>
    </w:p>
    <w:p w:rsidR="00697C82" w:rsidRDefault="00697C82" w:rsidP="00697C82">
      <w:pPr>
        <w:pStyle w:val="Caption"/>
        <w:keepNext/>
        <w:ind w:firstLine="450"/>
        <w:rPr>
          <w:color w:val="000000" w:themeColor="text1"/>
          <w:sz w:val="22"/>
        </w:rPr>
      </w:pPr>
      <w:r>
        <w:rPr>
          <w:color w:val="000000" w:themeColor="text1"/>
          <w:sz w:val="22"/>
        </w:rPr>
        <w:t xml:space="preserve">         </w:t>
      </w:r>
      <w:r w:rsidRPr="00697C82">
        <w:rPr>
          <w:color w:val="000000" w:themeColor="text1"/>
          <w:sz w:val="22"/>
        </w:rPr>
        <w:t>Chart 2</w:t>
      </w:r>
      <w:r>
        <w:rPr>
          <w:color w:val="000000" w:themeColor="text1"/>
          <w:sz w:val="22"/>
        </w:rPr>
        <w:t>.  G</w:t>
      </w:r>
      <w:r w:rsidRPr="00697C82">
        <w:rPr>
          <w:color w:val="000000" w:themeColor="text1"/>
          <w:sz w:val="22"/>
        </w:rPr>
        <w:t>raduate Enrollment &amp; Degrees Conferred</w:t>
      </w:r>
    </w:p>
    <w:p w:rsidR="00697C82" w:rsidRDefault="00697C82" w:rsidP="00697C82">
      <w:pPr>
        <w:pStyle w:val="Caption"/>
        <w:keepNext/>
        <w:ind w:firstLine="450"/>
        <w:jc w:val="center"/>
        <w:rPr>
          <w:color w:val="000000" w:themeColor="text1"/>
          <w:sz w:val="22"/>
        </w:rPr>
      </w:pPr>
      <w:r w:rsidRPr="0030631B">
        <w:rPr>
          <w:rFonts w:eastAsiaTheme="minorHAnsi"/>
          <w:noProof/>
        </w:rPr>
        <w:drawing>
          <wp:inline distT="0" distB="0" distL="0" distR="0">
            <wp:extent cx="4800600" cy="2343150"/>
            <wp:effectExtent l="19050" t="0" r="19050" b="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5504" w:rsidRPr="005A5504" w:rsidRDefault="005A5504" w:rsidP="005A5504"/>
    <w:p w:rsidR="00707C76" w:rsidRPr="00707C76" w:rsidRDefault="00707C76" w:rsidP="003E21EC">
      <w:pPr>
        <w:spacing w:after="200" w:line="276" w:lineRule="auto"/>
        <w:ind w:firstLine="450"/>
        <w:contextualSpacing/>
        <w:rPr>
          <w:rFonts w:eastAsiaTheme="minorHAnsi"/>
        </w:rPr>
      </w:pPr>
      <w:r>
        <w:rPr>
          <w:rFonts w:eastAsiaTheme="minorHAnsi"/>
        </w:rPr>
        <w:t>During the 2008-2009 academic year, a p</w:t>
      </w:r>
      <w:r w:rsidRPr="00707C76">
        <w:rPr>
          <w:rFonts w:eastAsiaTheme="minorHAnsi"/>
        </w:rPr>
        <w:t xml:space="preserve">roposal for </w:t>
      </w:r>
      <w:r w:rsidR="002D6261">
        <w:rPr>
          <w:rFonts w:eastAsiaTheme="minorHAnsi"/>
        </w:rPr>
        <w:t xml:space="preserve">an </w:t>
      </w:r>
      <w:r w:rsidRPr="00707C76">
        <w:rPr>
          <w:rFonts w:eastAsiaTheme="minorHAnsi"/>
          <w:b/>
        </w:rPr>
        <w:t>RN to MSN</w:t>
      </w:r>
      <w:r>
        <w:rPr>
          <w:rFonts w:eastAsiaTheme="minorHAnsi"/>
        </w:rPr>
        <w:t xml:space="preserve"> online</w:t>
      </w:r>
      <w:r w:rsidRPr="00707C76">
        <w:rPr>
          <w:rFonts w:eastAsiaTheme="minorHAnsi"/>
        </w:rPr>
        <w:t xml:space="preserve"> program was </w:t>
      </w:r>
      <w:r>
        <w:rPr>
          <w:rFonts w:eastAsiaTheme="minorHAnsi"/>
        </w:rPr>
        <w:t xml:space="preserve">developed </w:t>
      </w:r>
      <w:r w:rsidR="002D6261">
        <w:rPr>
          <w:rFonts w:eastAsiaTheme="minorHAnsi"/>
        </w:rPr>
        <w:t xml:space="preserve">and </w:t>
      </w:r>
      <w:r>
        <w:rPr>
          <w:rFonts w:eastAsiaTheme="minorHAnsi"/>
        </w:rPr>
        <w:t>approved.  This program was implemented in August of 2009</w:t>
      </w:r>
      <w:r w:rsidR="0067265D">
        <w:rPr>
          <w:rFonts w:eastAsiaTheme="minorHAnsi"/>
        </w:rPr>
        <w:t>.  B</w:t>
      </w:r>
      <w:r w:rsidR="002D6261">
        <w:rPr>
          <w:rFonts w:eastAsiaTheme="minorHAnsi"/>
        </w:rPr>
        <w:t>ased on</w:t>
      </w:r>
      <w:r w:rsidR="001F10C3">
        <w:rPr>
          <w:rFonts w:eastAsiaTheme="minorHAnsi"/>
        </w:rPr>
        <w:t xml:space="preserve"> the number of </w:t>
      </w:r>
      <w:r w:rsidR="00373417">
        <w:rPr>
          <w:rFonts w:eastAsiaTheme="minorHAnsi"/>
        </w:rPr>
        <w:t xml:space="preserve"> RN to BSN </w:t>
      </w:r>
      <w:r w:rsidR="001F10C3">
        <w:rPr>
          <w:rFonts w:eastAsiaTheme="minorHAnsi"/>
        </w:rPr>
        <w:t>program</w:t>
      </w:r>
      <w:r w:rsidR="0067265D">
        <w:rPr>
          <w:rFonts w:eastAsiaTheme="minorHAnsi"/>
        </w:rPr>
        <w:t xml:space="preserve"> </w:t>
      </w:r>
      <w:r w:rsidR="002D6261">
        <w:rPr>
          <w:rFonts w:eastAsiaTheme="minorHAnsi"/>
        </w:rPr>
        <w:t>applications</w:t>
      </w:r>
      <w:r w:rsidR="00373417">
        <w:rPr>
          <w:rFonts w:eastAsiaTheme="minorHAnsi"/>
        </w:rPr>
        <w:t xml:space="preserve"> we have received</w:t>
      </w:r>
      <w:r w:rsidR="002D6261">
        <w:rPr>
          <w:rFonts w:eastAsiaTheme="minorHAnsi"/>
        </w:rPr>
        <w:t>,</w:t>
      </w:r>
      <w:r>
        <w:rPr>
          <w:rFonts w:eastAsiaTheme="minorHAnsi"/>
        </w:rPr>
        <w:t xml:space="preserve"> </w:t>
      </w:r>
      <w:r w:rsidR="001F10C3">
        <w:rPr>
          <w:rFonts w:eastAsiaTheme="minorHAnsi"/>
        </w:rPr>
        <w:t xml:space="preserve">we expect to see an </w:t>
      </w:r>
      <w:r w:rsidR="002D6261">
        <w:rPr>
          <w:rFonts w:eastAsiaTheme="minorHAnsi"/>
        </w:rPr>
        <w:t xml:space="preserve">increase </w:t>
      </w:r>
      <w:r w:rsidR="001F10C3">
        <w:rPr>
          <w:rFonts w:eastAsiaTheme="minorHAnsi"/>
        </w:rPr>
        <w:t xml:space="preserve">in </w:t>
      </w:r>
      <w:r w:rsidR="002D6261">
        <w:rPr>
          <w:rFonts w:eastAsiaTheme="minorHAnsi"/>
        </w:rPr>
        <w:t>online BSN degree conferment</w:t>
      </w:r>
      <w:r w:rsidR="00373417">
        <w:rPr>
          <w:rFonts w:eastAsiaTheme="minorHAnsi"/>
        </w:rPr>
        <w:t xml:space="preserve"> and</w:t>
      </w:r>
      <w:r w:rsidR="001F10C3">
        <w:rPr>
          <w:rFonts w:eastAsiaTheme="minorHAnsi"/>
        </w:rPr>
        <w:t xml:space="preserve"> a</w:t>
      </w:r>
      <w:r w:rsidR="00373417">
        <w:rPr>
          <w:rFonts w:eastAsiaTheme="minorHAnsi"/>
        </w:rPr>
        <w:t xml:space="preserve"> potential</w:t>
      </w:r>
      <w:r w:rsidR="001F10C3">
        <w:rPr>
          <w:rFonts w:eastAsiaTheme="minorHAnsi"/>
        </w:rPr>
        <w:t xml:space="preserve"> </w:t>
      </w:r>
      <w:r>
        <w:rPr>
          <w:rFonts w:eastAsiaTheme="minorHAnsi"/>
        </w:rPr>
        <w:t xml:space="preserve">significant increase </w:t>
      </w:r>
      <w:r w:rsidR="00373417">
        <w:rPr>
          <w:rFonts w:eastAsiaTheme="minorHAnsi"/>
        </w:rPr>
        <w:t xml:space="preserve">in </w:t>
      </w:r>
      <w:r w:rsidR="002D6261">
        <w:rPr>
          <w:rFonts w:eastAsiaTheme="minorHAnsi"/>
        </w:rPr>
        <w:t xml:space="preserve">online </w:t>
      </w:r>
      <w:r>
        <w:rPr>
          <w:rFonts w:eastAsiaTheme="minorHAnsi"/>
        </w:rPr>
        <w:t xml:space="preserve">MSN degree </w:t>
      </w:r>
      <w:r w:rsidR="002D6261">
        <w:rPr>
          <w:rFonts w:eastAsiaTheme="minorHAnsi"/>
        </w:rPr>
        <w:t xml:space="preserve">conferment.  </w:t>
      </w:r>
    </w:p>
    <w:p w:rsidR="00707C76" w:rsidRPr="001F10C3" w:rsidRDefault="00707C76" w:rsidP="00F62957">
      <w:pPr>
        <w:spacing w:after="200" w:line="276" w:lineRule="auto"/>
        <w:ind w:firstLine="450"/>
        <w:contextualSpacing/>
        <w:rPr>
          <w:rFonts w:eastAsiaTheme="minorHAnsi"/>
          <w:b/>
        </w:rPr>
      </w:pPr>
    </w:p>
    <w:p w:rsidR="001F10C3" w:rsidRDefault="001F10C3" w:rsidP="00AC17B7">
      <w:pPr>
        <w:spacing w:line="276" w:lineRule="auto"/>
        <w:rPr>
          <w:b/>
        </w:rPr>
      </w:pPr>
      <w:r w:rsidRPr="003E21EC">
        <w:rPr>
          <w:b/>
        </w:rPr>
        <w:t>Student services</w:t>
      </w:r>
    </w:p>
    <w:p w:rsidR="00074D64" w:rsidRPr="003E21EC" w:rsidRDefault="001F10C3" w:rsidP="003E21EC">
      <w:pPr>
        <w:autoSpaceDE w:val="0"/>
        <w:autoSpaceDN w:val="0"/>
        <w:adjustRightInd w:val="0"/>
        <w:spacing w:line="276" w:lineRule="auto"/>
        <w:ind w:firstLine="720"/>
        <w:rPr>
          <w:rFonts w:eastAsia="Calibri"/>
        </w:rPr>
      </w:pPr>
      <w:r w:rsidRPr="003E21EC">
        <w:t>The</w:t>
      </w:r>
      <w:r w:rsidRPr="003E21EC">
        <w:rPr>
          <w:b/>
        </w:rPr>
        <w:t xml:space="preserve"> </w:t>
      </w:r>
      <w:r w:rsidRPr="003E21EC">
        <w:t xml:space="preserve">Online Nursing Department actively provides various student services including the typical course/program advisement, mentoring students who may have difficulty, and providing references to prospective employers and graduate schools.  </w:t>
      </w:r>
      <w:r w:rsidR="00B944F0" w:rsidRPr="003E21EC">
        <w:t>Additionally, in 2007, using funds generated from the online fees collected, the Online Nursing Department began offering scholarships to both undergraduate and graduate nursing students.   Two scholarships per semester are offered to undergraduate online nursing students.  These scholarships are for $1,000 with one being merit based and the other need based.  One merit/essay based scholarship for $1,500 is awarded to a graduate student in the spring and fall.</w:t>
      </w:r>
      <w:r w:rsidR="00074D64" w:rsidRPr="003E21EC">
        <w:t xml:space="preserve">  </w:t>
      </w:r>
      <w:r w:rsidR="002F78F8" w:rsidRPr="003E21EC">
        <w:t>In 2008-2009. The Online Department a</w:t>
      </w:r>
      <w:r w:rsidR="00074D64" w:rsidRPr="003E21EC">
        <w:rPr>
          <w:rFonts w:eastAsia="Calibri"/>
        </w:rPr>
        <w:t xml:space="preserve">warded 7 scholarships to RN to BSN students and 1 graduate scholarship for a total of $8,500. </w:t>
      </w:r>
    </w:p>
    <w:p w:rsidR="002F78F8" w:rsidRPr="003E21EC" w:rsidRDefault="002F78F8" w:rsidP="003E21EC">
      <w:pPr>
        <w:spacing w:line="276" w:lineRule="auto"/>
        <w:ind w:firstLine="720"/>
      </w:pPr>
      <w:r w:rsidRPr="003E21EC">
        <w:t>In 2008, t</w:t>
      </w:r>
      <w:r w:rsidR="00074D64" w:rsidRPr="003E21EC">
        <w:t xml:space="preserve">he Online Nursing Department partnered with the UNA Writing Center’s Dr. Robert Koch in establishing an online “Writing Center” that is embedded in three online undergraduates courses and </w:t>
      </w:r>
      <w:r w:rsidRPr="003E21EC">
        <w:t xml:space="preserve">two graduate courses.  In addition to having writing tips and web links in the unit, students can post questions and tutors from the Writing Center will respond.  </w:t>
      </w:r>
      <w:r w:rsidRPr="003E21EC">
        <w:lastRenderedPageBreak/>
        <w:t>Additionally, prior to turning in an assignment, students may submit their work to the Writing Center tutors who will critique it for writing style, format and grammar errors.</w:t>
      </w:r>
    </w:p>
    <w:p w:rsidR="002F78F8" w:rsidRPr="003E21EC" w:rsidRDefault="002F78F8" w:rsidP="003E21EC">
      <w:pPr>
        <w:spacing w:line="276" w:lineRule="auto"/>
        <w:ind w:firstLine="720"/>
      </w:pPr>
      <w:r w:rsidRPr="003E21EC">
        <w:t>Based on the success of the Writing Center, the Online Nursing Department also partnered with the Collier Library’s Mrs. Leigh Thompson</w:t>
      </w:r>
      <w:r w:rsidR="00783AAB" w:rsidRPr="003E21EC">
        <w:t>.  Students can  “Ask the Librarian” for assistance in locating online materials in the library’s online database or for tips in seeking information at other libraries or on the internet.  Mrs. Thompson monitors the discussion board for questions from the students.  Both of these partnerships have been very helpful to our online nursing students.</w:t>
      </w:r>
    </w:p>
    <w:p w:rsidR="00783AAB" w:rsidRPr="003E21EC" w:rsidRDefault="00783AAB" w:rsidP="003E21EC">
      <w:pPr>
        <w:spacing w:line="276" w:lineRule="auto"/>
        <w:ind w:firstLine="720"/>
      </w:pPr>
      <w:r w:rsidRPr="003E21EC">
        <w:t>Th</w:t>
      </w:r>
      <w:r w:rsidR="00C51C1B">
        <w:t xml:space="preserve">e Online Nursing Department </w:t>
      </w:r>
      <w:r w:rsidRPr="003E21EC">
        <w:t>also established a private Facebook group for nursing faculty and staff,  nursing students and nursing alumni.  This group has been very successful wit</w:t>
      </w:r>
      <w:r w:rsidR="00C51C1B">
        <w:t xml:space="preserve">h over 600 members thus far.  It is used </w:t>
      </w:r>
      <w:r w:rsidRPr="003E21EC">
        <w:t>to post news, keep in touch with alumni, note/celebrate achievements and to conduct alumni program satisfaction surveys.</w:t>
      </w:r>
    </w:p>
    <w:p w:rsidR="001F10C3" w:rsidRPr="003E21EC" w:rsidRDefault="00C51C1B" w:rsidP="003E21EC">
      <w:pPr>
        <w:spacing w:line="276" w:lineRule="auto"/>
        <w:ind w:firstLine="720"/>
        <w:rPr>
          <w:b/>
        </w:rPr>
      </w:pPr>
      <w:r>
        <w:t xml:space="preserve">In </w:t>
      </w:r>
      <w:r w:rsidRPr="003015A3">
        <w:t>2008,</w:t>
      </w:r>
      <w:r>
        <w:t xml:space="preserve"> </w:t>
      </w:r>
      <w:r w:rsidR="001F10C3" w:rsidRPr="003E21EC">
        <w:t>Mrs. Linda Austin</w:t>
      </w:r>
      <w:r w:rsidR="001441E8" w:rsidRPr="003E21EC">
        <w:t>,</w:t>
      </w:r>
      <w:r w:rsidR="001F10C3" w:rsidRPr="003E21EC">
        <w:t xml:space="preserve"> Mrs. Cathy Malone,</w:t>
      </w:r>
      <w:r>
        <w:t xml:space="preserve"> and Dr. Lynn Aquadro (OD faculty) </w:t>
      </w:r>
      <w:r w:rsidR="001F10C3" w:rsidRPr="003E21EC">
        <w:t xml:space="preserve"> were instrumental in </w:t>
      </w:r>
      <w:r>
        <w:t xml:space="preserve">obtaining and </w:t>
      </w:r>
      <w:r w:rsidR="001F10C3" w:rsidRPr="003E21EC">
        <w:t>organizing the first Nursing Honor Society charter at UNA</w:t>
      </w:r>
      <w:r w:rsidR="001441E8" w:rsidRPr="003E21EC">
        <w:t xml:space="preserve"> </w:t>
      </w:r>
      <w:r>
        <w:t>–</w:t>
      </w:r>
      <w:r w:rsidR="001441E8" w:rsidRPr="003E21EC">
        <w:t xml:space="preserve"> </w:t>
      </w:r>
      <w:r>
        <w:t xml:space="preserve">the Upsilon Omicron Chapter of </w:t>
      </w:r>
      <w:r w:rsidR="004F0C3B">
        <w:t>Sigma Th</w:t>
      </w:r>
      <w:r w:rsidR="001F10C3" w:rsidRPr="003E21EC">
        <w:t>eta Tau</w:t>
      </w:r>
      <w:r w:rsidR="001441E8" w:rsidRPr="003E21EC">
        <w:t xml:space="preserve"> International.  Many of our online nursing students/alumni have been inducted and several have held officer positions.</w:t>
      </w:r>
    </w:p>
    <w:p w:rsidR="001F10C3" w:rsidRPr="003E21EC" w:rsidRDefault="001F10C3" w:rsidP="003E21EC">
      <w:pPr>
        <w:spacing w:line="276" w:lineRule="auto"/>
        <w:rPr>
          <w:b/>
        </w:rPr>
      </w:pPr>
    </w:p>
    <w:p w:rsidR="00C51C1B" w:rsidRDefault="001F10C3" w:rsidP="002B79CF">
      <w:pPr>
        <w:spacing w:line="276" w:lineRule="auto"/>
      </w:pPr>
      <w:r w:rsidRPr="00EC2D86">
        <w:rPr>
          <w:b/>
          <w:u w:val="single"/>
        </w:rPr>
        <w:t xml:space="preserve">Outcome information </w:t>
      </w:r>
    </w:p>
    <w:p w:rsidR="00764370" w:rsidRDefault="003E21EC" w:rsidP="004F0C3B">
      <w:pPr>
        <w:spacing w:after="200" w:line="276" w:lineRule="auto"/>
        <w:ind w:firstLine="720"/>
        <w:contextualSpacing/>
        <w:rPr>
          <w:rFonts w:ascii="Arial" w:hAnsi="Arial" w:cs="Arial"/>
        </w:rPr>
      </w:pPr>
      <w:r w:rsidRPr="003E21EC">
        <w:t>As the RN to BSN online option is a flexible p</w:t>
      </w:r>
      <w:r>
        <w:t xml:space="preserve">rogram, most students take </w:t>
      </w:r>
      <w:r w:rsidRPr="003E21EC">
        <w:t xml:space="preserve">academic prerequisite courses concurrently with nursing courses; thus, the length of time from entry to graduation is variable and often extended.  In 2008, the Online Department examined the length of time from entry to graduation for RN to BSN graduates.  Of 424 graduates between 2001 and 2008, 87 graduated in 3 semesters.  The average length of time from entry to graduation was 6 semesters, including time required to complete academic courses.  The overall length of time </w:t>
      </w:r>
      <w:r>
        <w:t xml:space="preserve">of enrollment </w:t>
      </w:r>
      <w:r w:rsidRPr="003E21EC">
        <w:t>from entry to graduation ranged from 3 semesters to 20 semesters</w:t>
      </w:r>
      <w:r w:rsidRPr="003E21EC">
        <w:rPr>
          <w:rFonts w:ascii="Arial" w:hAnsi="Arial" w:cs="Arial"/>
        </w:rPr>
        <w:t xml:space="preserve">.  </w:t>
      </w:r>
    </w:p>
    <w:p w:rsidR="00697C82" w:rsidRDefault="003E21EC" w:rsidP="00697C82">
      <w:pPr>
        <w:spacing w:after="200" w:line="276" w:lineRule="auto"/>
        <w:ind w:firstLine="720"/>
        <w:contextualSpacing/>
      </w:pPr>
      <w:r w:rsidRPr="003E21EC">
        <w:t>Based on the Five-year Department Evaluation Data study by UNA’s Institutional Research, Planning and Assessment Department, only 8% of RN to BSN students are enrolled in nursing courses on a full-time basis as evidenced in Chart</w:t>
      </w:r>
      <w:r>
        <w:t xml:space="preserve"> 3</w:t>
      </w:r>
      <w:r w:rsidRPr="003E21EC">
        <w:t>.  Although the majority of RN to BSN students do enroll on a part-time basis, an average of 69 RN to BSN students graduate annually.</w:t>
      </w:r>
    </w:p>
    <w:p w:rsidR="00ED386D" w:rsidRDefault="00ED386D" w:rsidP="00ED386D">
      <w:pPr>
        <w:spacing w:after="200" w:line="276" w:lineRule="auto"/>
        <w:contextualSpacing/>
        <w:rPr>
          <w:b/>
        </w:rPr>
      </w:pPr>
      <w:r>
        <w:rPr>
          <w:b/>
        </w:rPr>
        <w:t xml:space="preserve">                               </w:t>
      </w:r>
      <w:r w:rsidR="003E21EC" w:rsidRPr="00397D60">
        <w:rPr>
          <w:b/>
        </w:rPr>
        <w:t>Chart 3.  Five Year RN to BSN Enrollment Status</w:t>
      </w:r>
    </w:p>
    <w:p w:rsidR="003E21EC" w:rsidRDefault="003E21EC" w:rsidP="008D33F4">
      <w:pPr>
        <w:spacing w:after="200" w:line="276" w:lineRule="auto"/>
        <w:contextualSpacing/>
        <w:jc w:val="center"/>
        <w:rPr>
          <w:rFonts w:ascii="Arial" w:hAnsi="Arial" w:cs="Arial"/>
          <w:sz w:val="22"/>
          <w:szCs w:val="22"/>
        </w:rPr>
      </w:pPr>
      <w:r w:rsidRPr="003E21EC">
        <w:rPr>
          <w:rFonts w:ascii="Arial" w:hAnsi="Arial" w:cs="Arial"/>
          <w:noProof/>
          <w:sz w:val="22"/>
          <w:szCs w:val="22"/>
        </w:rPr>
        <w:drawing>
          <wp:inline distT="0" distB="0" distL="0" distR="0">
            <wp:extent cx="3581400" cy="1971675"/>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6144" w:rsidRDefault="00B66144" w:rsidP="00ED386D">
      <w:pPr>
        <w:spacing w:line="360" w:lineRule="auto"/>
        <w:ind w:firstLine="720"/>
        <w:rPr>
          <w:sz w:val="22"/>
          <w:szCs w:val="22"/>
        </w:rPr>
      </w:pPr>
      <w:r w:rsidRPr="00764370">
        <w:rPr>
          <w:sz w:val="22"/>
          <w:szCs w:val="22"/>
        </w:rPr>
        <w:lastRenderedPageBreak/>
        <w:t>The Online Nursing program</w:t>
      </w:r>
      <w:r w:rsidR="00FE526F">
        <w:rPr>
          <w:sz w:val="22"/>
          <w:szCs w:val="22"/>
        </w:rPr>
        <w:t xml:space="preserve"> has a good</w:t>
      </w:r>
      <w:r w:rsidR="00764370" w:rsidRPr="00764370">
        <w:rPr>
          <w:sz w:val="22"/>
          <w:szCs w:val="22"/>
        </w:rPr>
        <w:t xml:space="preserve"> record of student course completion</w:t>
      </w:r>
      <w:r w:rsidR="00ED386D">
        <w:rPr>
          <w:sz w:val="22"/>
          <w:szCs w:val="22"/>
        </w:rPr>
        <w:t xml:space="preserve"> rates</w:t>
      </w:r>
      <w:r w:rsidR="00764370" w:rsidRPr="00764370">
        <w:rPr>
          <w:sz w:val="22"/>
          <w:szCs w:val="22"/>
        </w:rPr>
        <w:t xml:space="preserve">. </w:t>
      </w:r>
      <w:r w:rsidR="00764370">
        <w:rPr>
          <w:sz w:val="22"/>
          <w:szCs w:val="22"/>
        </w:rPr>
        <w:t xml:space="preserve">As noted in </w:t>
      </w:r>
      <w:r w:rsidR="00764370" w:rsidRPr="00764370">
        <w:rPr>
          <w:sz w:val="22"/>
          <w:szCs w:val="22"/>
        </w:rPr>
        <w:t xml:space="preserve">Chart </w:t>
      </w:r>
      <w:r w:rsidR="00764370">
        <w:rPr>
          <w:sz w:val="22"/>
          <w:szCs w:val="22"/>
        </w:rPr>
        <w:t>4</w:t>
      </w:r>
      <w:r w:rsidR="00ED386D">
        <w:rPr>
          <w:sz w:val="22"/>
          <w:szCs w:val="22"/>
        </w:rPr>
        <w:t>,</w:t>
      </w:r>
      <w:r w:rsidR="00764370">
        <w:rPr>
          <w:sz w:val="22"/>
          <w:szCs w:val="22"/>
        </w:rPr>
        <w:t xml:space="preserve"> the </w:t>
      </w:r>
      <w:r w:rsidR="004F0C3B">
        <w:rPr>
          <w:sz w:val="22"/>
          <w:szCs w:val="22"/>
        </w:rPr>
        <w:t xml:space="preserve">course </w:t>
      </w:r>
      <w:r w:rsidR="00764370">
        <w:rPr>
          <w:sz w:val="22"/>
          <w:szCs w:val="22"/>
        </w:rPr>
        <w:t>completion rate for 2007, 2008 and 2009 ranged fro</w:t>
      </w:r>
      <w:r w:rsidR="002503E1">
        <w:rPr>
          <w:sz w:val="22"/>
          <w:szCs w:val="22"/>
        </w:rPr>
        <w:t>m 90% to 98% with an overall average of  94%.</w:t>
      </w:r>
      <w:r w:rsidR="004F0C3B">
        <w:rPr>
          <w:sz w:val="22"/>
          <w:szCs w:val="22"/>
        </w:rPr>
        <w:t xml:space="preserve">  </w:t>
      </w:r>
      <w:r w:rsidR="00875587">
        <w:rPr>
          <w:sz w:val="22"/>
          <w:szCs w:val="22"/>
        </w:rPr>
        <w:t xml:space="preserve"> The increased course completion rates from 2007 through 2009  reflects the concentrated  effort by faculty and staff to prevent/solve any course/technology related problems, to assist students with limited technology skills, and to work with students who have time/scheduling restraints whenever possible, in order to retain students in their courses.  These data</w:t>
      </w:r>
      <w:r w:rsidR="004F0C3B">
        <w:rPr>
          <w:sz w:val="22"/>
          <w:szCs w:val="22"/>
        </w:rPr>
        <w:t xml:space="preserve"> include both the RN to BSN and the MSN courses.</w:t>
      </w:r>
    </w:p>
    <w:p w:rsidR="00B66144" w:rsidRDefault="009E2CD0" w:rsidP="00086D12">
      <w:pPr>
        <w:spacing w:line="360" w:lineRule="auto"/>
        <w:ind w:left="1170"/>
        <w:rPr>
          <w:rFonts w:ascii="Arial" w:hAnsi="Arial" w:cs="Arial"/>
          <w:sz w:val="22"/>
          <w:szCs w:val="22"/>
        </w:rPr>
      </w:pPr>
      <w:r>
        <w:rPr>
          <w:b/>
          <w:sz w:val="22"/>
          <w:szCs w:val="22"/>
        </w:rPr>
        <w:t xml:space="preserve"> </w:t>
      </w:r>
      <w:r w:rsidR="00FE526F">
        <w:rPr>
          <w:b/>
          <w:sz w:val="22"/>
          <w:szCs w:val="22"/>
        </w:rPr>
        <w:t>Chart 4.  Course Completion Rates</w:t>
      </w:r>
      <w:r w:rsidR="00397D60">
        <w:rPr>
          <w:rFonts w:ascii="Arial" w:hAnsi="Arial" w:cs="Arial"/>
          <w:noProof/>
          <w:sz w:val="22"/>
          <w:szCs w:val="22"/>
        </w:rPr>
        <w:drawing>
          <wp:inline distT="0" distB="0" distL="0" distR="0">
            <wp:extent cx="4532145" cy="2571750"/>
            <wp:effectExtent l="19050" t="19050" r="20805" b="19050"/>
            <wp:docPr id="5" name="Picture 4" descr="UNAO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OPS1.jpg"/>
                    <pic:cNvPicPr/>
                  </pic:nvPicPr>
                  <pic:blipFill>
                    <a:blip r:embed="rId12" cstate="print"/>
                    <a:stretch>
                      <a:fillRect/>
                    </a:stretch>
                  </pic:blipFill>
                  <pic:spPr>
                    <a:xfrm>
                      <a:off x="0" y="0"/>
                      <a:ext cx="4532145" cy="2571750"/>
                    </a:xfrm>
                    <a:prstGeom prst="rect">
                      <a:avLst/>
                    </a:prstGeom>
                    <a:ln>
                      <a:solidFill>
                        <a:schemeClr val="tx1"/>
                      </a:solidFill>
                    </a:ln>
                  </pic:spPr>
                </pic:pic>
              </a:graphicData>
            </a:graphic>
          </wp:inline>
        </w:drawing>
      </w:r>
    </w:p>
    <w:p w:rsidR="003E1824" w:rsidRPr="003E1824" w:rsidRDefault="002B79CF" w:rsidP="00397D60">
      <w:pPr>
        <w:spacing w:line="360" w:lineRule="auto"/>
        <w:ind w:firstLine="360"/>
      </w:pPr>
      <w:r>
        <w:t>All g</w:t>
      </w:r>
      <w:r w:rsidR="002C6D81" w:rsidRPr="003E1824">
        <w:t xml:space="preserve">raduates of the RN to BSN option are surveyed annually. The Online Program Effectiveness &amp; Curriculum Committee (OPECCC) is responsible for the administration of the Program Evaluation Plan (PEP) and performs an analysis and interpretation of data relative to program effectiveness.  </w:t>
      </w:r>
      <w:r w:rsidR="003E1824">
        <w:t>D</w:t>
      </w:r>
      <w:r w:rsidR="002C6D81" w:rsidRPr="003E1824">
        <w:t xml:space="preserve">ata included in this narrative response represents the </w:t>
      </w:r>
      <w:r w:rsidR="003E1824">
        <w:t xml:space="preserve">Spring </w:t>
      </w:r>
      <w:r w:rsidR="002C6D81" w:rsidRPr="003E1824">
        <w:t xml:space="preserve">2010 Program Effectiveness survey, unless otherwise noted.  </w:t>
      </w:r>
      <w:r w:rsidR="00397D60">
        <w:t xml:space="preserve">Data analysis supports </w:t>
      </w:r>
      <w:r w:rsidR="003E1824" w:rsidRPr="003E1824">
        <w:t xml:space="preserve">successful </w:t>
      </w:r>
      <w:r w:rsidR="009E2CD0">
        <w:t>achievement of student outcomes in the following areas:</w:t>
      </w:r>
    </w:p>
    <w:p w:rsidR="003E1824" w:rsidRPr="001F6363" w:rsidRDefault="00FE526F" w:rsidP="003E1824">
      <w:pPr>
        <w:pStyle w:val="ListParagraph"/>
        <w:numPr>
          <w:ilvl w:val="0"/>
          <w:numId w:val="12"/>
        </w:numPr>
        <w:spacing w:line="360" w:lineRule="auto"/>
      </w:pPr>
      <w:r>
        <w:t>Employment</w:t>
      </w:r>
      <w:r w:rsidR="003E1824" w:rsidRPr="001F6363">
        <w:t xml:space="preserve">.  </w:t>
      </w:r>
    </w:p>
    <w:p w:rsidR="003E1824" w:rsidRDefault="003E1824" w:rsidP="003E1824">
      <w:pPr>
        <w:pStyle w:val="ListParagraph"/>
        <w:numPr>
          <w:ilvl w:val="1"/>
          <w:numId w:val="12"/>
        </w:numPr>
        <w:spacing w:line="360" w:lineRule="auto"/>
      </w:pPr>
      <w:r w:rsidRPr="003E1824">
        <w:t xml:space="preserve">73% of survey respondents report full-time employment and 15% report part-time employment.  Of 6 respondents reporting unemployment, 3 reported being laid-off, 2 reported inability to find a job and 1 was not seeking employment.  The majority of graduates (65%) report working in hospital settings. When respondents described their current nursing role, 49% reported Staff Nurse, 29% reported Charge Nurse or Nurse Manager, 11% reported Nurse Administrator, 6% reported Nurse Practitioner, and 4% reported Nurse Educator. </w:t>
      </w:r>
    </w:p>
    <w:p w:rsidR="003E1824" w:rsidRPr="003E1824" w:rsidRDefault="00FE526F" w:rsidP="003E1824">
      <w:pPr>
        <w:pStyle w:val="ListParagraph"/>
        <w:numPr>
          <w:ilvl w:val="0"/>
          <w:numId w:val="12"/>
        </w:numPr>
        <w:autoSpaceDE w:val="0"/>
        <w:autoSpaceDN w:val="0"/>
        <w:adjustRightInd w:val="0"/>
        <w:spacing w:line="360" w:lineRule="auto"/>
        <w:rPr>
          <w:bCs/>
        </w:rPr>
      </w:pPr>
      <w:r>
        <w:rPr>
          <w:bCs/>
        </w:rPr>
        <w:lastRenderedPageBreak/>
        <w:t>F</w:t>
      </w:r>
      <w:r w:rsidR="003E1824" w:rsidRPr="001F6363">
        <w:rPr>
          <w:bCs/>
        </w:rPr>
        <w:t>oundation for graduate study.</w:t>
      </w:r>
      <w:r w:rsidR="003E1824" w:rsidRPr="003E1824">
        <w:rPr>
          <w:bCs/>
        </w:rPr>
        <w:t xml:space="preserve">  </w:t>
      </w:r>
    </w:p>
    <w:p w:rsidR="003E1824" w:rsidRPr="003E1824" w:rsidRDefault="003E1824" w:rsidP="003E1824">
      <w:pPr>
        <w:pStyle w:val="ListParagraph"/>
        <w:numPr>
          <w:ilvl w:val="1"/>
          <w:numId w:val="12"/>
        </w:numPr>
        <w:autoSpaceDE w:val="0"/>
        <w:autoSpaceDN w:val="0"/>
        <w:adjustRightInd w:val="0"/>
        <w:spacing w:line="360" w:lineRule="auto"/>
        <w:rPr>
          <w:bCs/>
        </w:rPr>
      </w:pPr>
      <w:r w:rsidRPr="003E1824">
        <w:rPr>
          <w:bCs/>
        </w:rPr>
        <w:t>When asked to rate their satisfaction with the degree of preparation for graduate study, 85% (</w:t>
      </w:r>
      <w:r w:rsidRPr="003E1824">
        <w:rPr>
          <w:bCs/>
          <w:i/>
        </w:rPr>
        <w:t>n</w:t>
      </w:r>
      <w:r w:rsidRPr="003E1824">
        <w:rPr>
          <w:bCs/>
        </w:rPr>
        <w:t>54</w:t>
      </w:r>
      <w:r w:rsidRPr="003E1824">
        <w:rPr>
          <w:bCs/>
          <w:i/>
        </w:rPr>
        <w:t>)</w:t>
      </w:r>
      <w:r w:rsidRPr="003E1824">
        <w:rPr>
          <w:bCs/>
        </w:rPr>
        <w:t xml:space="preserve"> reported “Extremely Satisfied” or “Very Satisfied”, and 1 respondent reported “Somewhat Satisfied”.  7 (13%) respondents had “No Opinion”.</w:t>
      </w:r>
    </w:p>
    <w:p w:rsidR="003E1824" w:rsidRPr="003E1824" w:rsidRDefault="00FE526F" w:rsidP="003E1824">
      <w:pPr>
        <w:pStyle w:val="ListParagraph"/>
        <w:numPr>
          <w:ilvl w:val="0"/>
          <w:numId w:val="13"/>
        </w:numPr>
        <w:spacing w:line="360" w:lineRule="auto"/>
      </w:pPr>
      <w:r>
        <w:t>P</w:t>
      </w:r>
      <w:r w:rsidR="003E1824" w:rsidRPr="001F6363">
        <w:t>ersonal and professional growth.</w:t>
      </w:r>
    </w:p>
    <w:p w:rsidR="003E1824" w:rsidRPr="003E1824" w:rsidRDefault="003E1824" w:rsidP="003E1824">
      <w:pPr>
        <w:pStyle w:val="ListParagraph"/>
        <w:numPr>
          <w:ilvl w:val="1"/>
          <w:numId w:val="13"/>
        </w:numPr>
        <w:spacing w:line="360" w:lineRule="auto"/>
      </w:pPr>
      <w:r w:rsidRPr="003E1824">
        <w:t>47% (n59) of respondents report regularly reading of professional journals</w:t>
      </w:r>
    </w:p>
    <w:p w:rsidR="003E1824" w:rsidRPr="003E1824" w:rsidRDefault="003E1824" w:rsidP="003E1824">
      <w:pPr>
        <w:pStyle w:val="ListParagraph"/>
        <w:numPr>
          <w:ilvl w:val="1"/>
          <w:numId w:val="13"/>
        </w:numPr>
        <w:spacing w:before="240" w:line="360" w:lineRule="auto"/>
      </w:pPr>
      <w:r w:rsidRPr="003E1824">
        <w:t xml:space="preserve"> 53% (</w:t>
      </w:r>
      <w:r w:rsidRPr="003E1824">
        <w:rPr>
          <w:i/>
        </w:rPr>
        <w:t>n</w:t>
      </w:r>
      <w:r w:rsidRPr="003E1824">
        <w:t xml:space="preserve">59) report membership in professional nursing organizations, and 32% report current enrollment in graduate studies.  </w:t>
      </w:r>
    </w:p>
    <w:p w:rsidR="003E1824" w:rsidRPr="003E1824" w:rsidRDefault="003E1824" w:rsidP="003E1824">
      <w:pPr>
        <w:pStyle w:val="ListParagraph"/>
        <w:numPr>
          <w:ilvl w:val="1"/>
          <w:numId w:val="13"/>
        </w:numPr>
        <w:spacing w:before="240" w:line="360" w:lineRule="auto"/>
      </w:pPr>
      <w:r w:rsidRPr="003E1824">
        <w:t>14% (</w:t>
      </w:r>
      <w:r w:rsidRPr="003E1824">
        <w:rPr>
          <w:i/>
        </w:rPr>
        <w:t>n</w:t>
      </w:r>
      <w:r w:rsidRPr="003E1824">
        <w:t xml:space="preserve">59) report having attained the MSN degree.  </w:t>
      </w:r>
    </w:p>
    <w:p w:rsidR="003E1824" w:rsidRPr="003E1824" w:rsidRDefault="003E1824" w:rsidP="003E1824">
      <w:pPr>
        <w:pStyle w:val="ListParagraph"/>
        <w:numPr>
          <w:ilvl w:val="1"/>
          <w:numId w:val="13"/>
        </w:numPr>
        <w:spacing w:before="240" w:line="360" w:lineRule="auto"/>
      </w:pPr>
      <w:r w:rsidRPr="003E1824">
        <w:t>respondents described their career plans for the next 3 years with 46%  (</w:t>
      </w:r>
      <w:r w:rsidRPr="003E1824">
        <w:rPr>
          <w:i/>
        </w:rPr>
        <w:t>n</w:t>
      </w:r>
      <w:r w:rsidRPr="003E1824">
        <w:t xml:space="preserve">59) expecting to be in graduate school on a full or part-time basis.  </w:t>
      </w:r>
    </w:p>
    <w:p w:rsidR="003E1824" w:rsidRPr="003E1824" w:rsidRDefault="00FE526F" w:rsidP="003E1824">
      <w:pPr>
        <w:pStyle w:val="ListParagraph"/>
        <w:numPr>
          <w:ilvl w:val="0"/>
          <w:numId w:val="13"/>
        </w:numPr>
        <w:spacing w:before="240" w:line="360" w:lineRule="auto"/>
      </w:pPr>
      <w:r>
        <w:t xml:space="preserve"> R</w:t>
      </w:r>
      <w:r w:rsidR="003E1824" w:rsidRPr="001F6363">
        <w:t>esearch and its application to practice</w:t>
      </w:r>
    </w:p>
    <w:p w:rsidR="00397D60" w:rsidRPr="003E1824" w:rsidRDefault="003E1824" w:rsidP="00397D60">
      <w:pPr>
        <w:pStyle w:val="ListParagraph"/>
        <w:numPr>
          <w:ilvl w:val="1"/>
          <w:numId w:val="13"/>
        </w:numPr>
        <w:spacing w:before="240" w:line="360" w:lineRule="auto"/>
      </w:pPr>
      <w:r w:rsidRPr="003E1824">
        <w:t xml:space="preserve">93% (n59) report significant or adequate achievement in their ability to evaluate research for applicability to nursing.  5% </w:t>
      </w:r>
      <w:r w:rsidR="00FE526F">
        <w:t xml:space="preserve">reported </w:t>
      </w:r>
      <w:r w:rsidRPr="003E1824">
        <w:t>inadequate achievement and 2% had no opinion.</w:t>
      </w:r>
    </w:p>
    <w:p w:rsidR="003E1824" w:rsidRPr="003E1824" w:rsidRDefault="00FE526F" w:rsidP="003E1824">
      <w:pPr>
        <w:pStyle w:val="ListParagraph"/>
        <w:numPr>
          <w:ilvl w:val="0"/>
          <w:numId w:val="13"/>
        </w:numPr>
        <w:spacing w:before="240" w:line="360" w:lineRule="auto"/>
      </w:pPr>
      <w:r>
        <w:t>I</w:t>
      </w:r>
      <w:r w:rsidR="003E1824" w:rsidRPr="001F6363">
        <w:t>nterpersonal and technological skills necessary to assume leadership roles within the BSN scope of practice.</w:t>
      </w:r>
    </w:p>
    <w:p w:rsidR="003E1824" w:rsidRPr="003E1824" w:rsidRDefault="003E1824" w:rsidP="003E1824">
      <w:pPr>
        <w:pStyle w:val="ListParagraph"/>
        <w:numPr>
          <w:ilvl w:val="1"/>
          <w:numId w:val="13"/>
        </w:numPr>
        <w:spacing w:before="240" w:line="360" w:lineRule="auto"/>
      </w:pPr>
      <w:r w:rsidRPr="003E1824">
        <w:t xml:space="preserve">All courses are delivered completely online; thus technology skills are learned and/or improved </w:t>
      </w:r>
    </w:p>
    <w:p w:rsidR="0029356D" w:rsidRDefault="003E1824" w:rsidP="0029356D">
      <w:pPr>
        <w:pStyle w:val="ListParagraph"/>
        <w:numPr>
          <w:ilvl w:val="1"/>
          <w:numId w:val="13"/>
        </w:numPr>
        <w:spacing w:before="240" w:line="360" w:lineRule="auto"/>
      </w:pPr>
      <w:r w:rsidRPr="003E1824">
        <w:t>Communication is accomplished asynchronously via written communication with emphasis on appropriate netiquette and professional protocols.</w:t>
      </w:r>
    </w:p>
    <w:p w:rsidR="0029356D" w:rsidRDefault="0029356D" w:rsidP="0029356D">
      <w:pPr>
        <w:pStyle w:val="ListParagraph"/>
        <w:numPr>
          <w:ilvl w:val="0"/>
          <w:numId w:val="13"/>
        </w:numPr>
        <w:spacing w:before="240" w:line="360" w:lineRule="auto"/>
      </w:pPr>
      <w:r>
        <w:t>Program satisfaction</w:t>
      </w:r>
    </w:p>
    <w:p w:rsidR="0029356D" w:rsidRPr="0029356D" w:rsidRDefault="0029356D" w:rsidP="0029356D">
      <w:pPr>
        <w:pStyle w:val="ListParagraph"/>
        <w:numPr>
          <w:ilvl w:val="1"/>
          <w:numId w:val="13"/>
        </w:numPr>
        <w:spacing w:before="240" w:line="360" w:lineRule="auto"/>
      </w:pPr>
      <w:r>
        <w:t>Graduates report</w:t>
      </w:r>
      <w:r w:rsidRPr="003E1824">
        <w:t xml:space="preserve"> a high degree of </w:t>
      </w:r>
      <w:r>
        <w:t xml:space="preserve">satisfaction with the </w:t>
      </w:r>
      <w:r w:rsidRPr="003E1824">
        <w:t xml:space="preserve">online option. </w:t>
      </w:r>
      <w:r w:rsidRPr="0029356D">
        <w:rPr>
          <w:bCs/>
        </w:rPr>
        <w:t xml:space="preserve">Of 55 respondents, 98% report “Extremely Satisfied” or “Very Satisfied”, and 1 respondent (2%) reported “Somewhat Satisfied”.  </w:t>
      </w:r>
    </w:p>
    <w:p w:rsidR="00397D60" w:rsidRPr="0029356D" w:rsidRDefault="00397D60" w:rsidP="0029356D">
      <w:pPr>
        <w:spacing w:before="240" w:line="360" w:lineRule="auto"/>
        <w:ind w:left="360"/>
      </w:pPr>
      <w:r>
        <w:t>T</w:t>
      </w:r>
      <w:r w:rsidRPr="003E1824">
        <w:t>he analysis of</w:t>
      </w:r>
      <w:r w:rsidR="00086D12">
        <w:t xml:space="preserve"> course </w:t>
      </w:r>
      <w:r w:rsidRPr="003E1824">
        <w:t xml:space="preserve"> </w:t>
      </w:r>
      <w:r w:rsidR="00086D12">
        <w:t xml:space="preserve">evaluation, </w:t>
      </w:r>
      <w:r w:rsidRPr="003E1824">
        <w:t>annual graduate surveys</w:t>
      </w:r>
      <w:r w:rsidR="00086D12">
        <w:t xml:space="preserve"> and </w:t>
      </w:r>
      <w:r w:rsidRPr="003E1824">
        <w:t xml:space="preserve">impromptu surveys, provide evidence that the </w:t>
      </w:r>
      <w:r w:rsidR="00FE526F">
        <w:t>Online Department</w:t>
      </w:r>
      <w:r w:rsidR="0029356D">
        <w:t xml:space="preserve">’s undergraduate and graduate programs </w:t>
      </w:r>
      <w:r w:rsidRPr="003E1824">
        <w:t xml:space="preserve">is effective in achieving the mission, goals and expected student outcomes for the CONAH.  </w:t>
      </w:r>
    </w:p>
    <w:p w:rsidR="001345F6" w:rsidRDefault="001345F6" w:rsidP="001F6363">
      <w:pPr>
        <w:rPr>
          <w:b/>
          <w:u w:val="single"/>
        </w:rPr>
      </w:pPr>
    </w:p>
    <w:p w:rsidR="00086D12" w:rsidRDefault="00086D12" w:rsidP="001F6363">
      <w:pPr>
        <w:rPr>
          <w:b/>
          <w:u w:val="single"/>
        </w:rPr>
      </w:pPr>
    </w:p>
    <w:p w:rsidR="001F6363" w:rsidRPr="00397D60" w:rsidRDefault="001F6363" w:rsidP="001F6363">
      <w:pPr>
        <w:rPr>
          <w:b/>
          <w:u w:val="single"/>
        </w:rPr>
      </w:pPr>
      <w:r w:rsidRPr="00397D60">
        <w:rPr>
          <w:b/>
          <w:u w:val="single"/>
        </w:rPr>
        <w:lastRenderedPageBreak/>
        <w:t xml:space="preserve">Assess the department as it relates to faculty </w:t>
      </w:r>
    </w:p>
    <w:p w:rsidR="00EC2D86" w:rsidRDefault="00EC2D86" w:rsidP="00C07101">
      <w:pPr>
        <w:ind w:left="360"/>
      </w:pPr>
    </w:p>
    <w:p w:rsidR="00EC2D86" w:rsidRPr="00EC2D86" w:rsidRDefault="00EC2D86" w:rsidP="00C07101">
      <w:pPr>
        <w:ind w:left="360"/>
        <w:rPr>
          <w:b/>
        </w:rPr>
      </w:pPr>
      <w:r w:rsidRPr="00EC2D86">
        <w:rPr>
          <w:b/>
        </w:rPr>
        <w:t>Teaching productivity</w:t>
      </w:r>
      <w:r w:rsidR="00211F62" w:rsidRPr="00211F62">
        <w:t xml:space="preserve"> </w:t>
      </w:r>
      <w:r w:rsidR="00211F62" w:rsidRPr="00211F62">
        <w:rPr>
          <w:b/>
        </w:rPr>
        <w:t>and activities designed to enhance teaching and the curriculum</w:t>
      </w:r>
    </w:p>
    <w:p w:rsidR="00EC2D86" w:rsidRDefault="00EC2D86" w:rsidP="00C07101">
      <w:pPr>
        <w:ind w:left="360"/>
      </w:pPr>
    </w:p>
    <w:p w:rsidR="00CF34E5" w:rsidRDefault="0007161D" w:rsidP="00CF34E5">
      <w:pPr>
        <w:spacing w:line="276" w:lineRule="auto"/>
        <w:ind w:left="360"/>
      </w:pPr>
      <w:r>
        <w:t>The RN to BSN online option</w:t>
      </w:r>
      <w:r w:rsidR="00CA268A">
        <w:t xml:space="preserve"> </w:t>
      </w:r>
      <w:r w:rsidR="007E48B8">
        <w:t>began the 2004-2005 academic year with 4 full-time faculty</w:t>
      </w:r>
      <w:r w:rsidR="00C07101">
        <w:t xml:space="preserve"> and 1</w:t>
      </w:r>
      <w:r>
        <w:t xml:space="preserve"> office </w:t>
      </w:r>
      <w:r w:rsidR="00C07101">
        <w:t>staff</w:t>
      </w:r>
      <w:r>
        <w:t xml:space="preserve">, with 1 faculty from the </w:t>
      </w:r>
      <w:r w:rsidR="00CF34E5">
        <w:t>t</w:t>
      </w:r>
      <w:r>
        <w:t xml:space="preserve">raditional </w:t>
      </w:r>
      <w:r w:rsidR="00CF34E5">
        <w:t>BSN program</w:t>
      </w:r>
      <w:r>
        <w:t xml:space="preserve"> who taught course sections of 3 – 6 hours as overloads. </w:t>
      </w:r>
      <w:r w:rsidR="00FE526F">
        <w:t xml:space="preserve">One faculty also served as the Coordinator of the RN to BSN option.  </w:t>
      </w:r>
      <w:r w:rsidR="00CF34E5">
        <w:t>Almost all online faculty taught overloads every semester</w:t>
      </w:r>
      <w:r w:rsidR="00FE526F">
        <w:t xml:space="preserve">, including summers, </w:t>
      </w:r>
      <w:r w:rsidR="00CF34E5">
        <w:t xml:space="preserve"> as enrollment continued to grow.  </w:t>
      </w:r>
    </w:p>
    <w:p w:rsidR="00C07101" w:rsidRDefault="0007161D" w:rsidP="00CF34E5">
      <w:pPr>
        <w:spacing w:line="276" w:lineRule="auto"/>
        <w:ind w:left="360" w:firstLine="360"/>
      </w:pPr>
      <w:r>
        <w:t xml:space="preserve">The creation of the Online Nursing Department </w:t>
      </w:r>
      <w:r w:rsidR="00CF34E5">
        <w:t xml:space="preserve">(OD) </w:t>
      </w:r>
      <w:r>
        <w:t xml:space="preserve">occurred in August, 2006 at the same time the new MSN online degree program was launched.  </w:t>
      </w:r>
      <w:r w:rsidR="00CF34E5">
        <w:t xml:space="preserve">The Coordinator of the RN to BSN option was also named Department Chair of the OD.  </w:t>
      </w:r>
      <w:r>
        <w:t>B</w:t>
      </w:r>
      <w:r w:rsidR="00C07101">
        <w:t>y</w:t>
      </w:r>
      <w:r>
        <w:t xml:space="preserve"> the </w:t>
      </w:r>
      <w:r w:rsidR="00C07101">
        <w:t xml:space="preserve"> 2008-2009</w:t>
      </w:r>
      <w:r>
        <w:t xml:space="preserve"> academic year</w:t>
      </w:r>
      <w:r w:rsidR="00C07101">
        <w:t>, there were 7 full-time faculty, 1 adjunct faculty, 2 faculty from the Traditional Nursing Department</w:t>
      </w:r>
      <w:r w:rsidR="00CF34E5">
        <w:t xml:space="preserve"> (TD) who taught </w:t>
      </w:r>
      <w:r w:rsidR="00C07101">
        <w:t>3 to 6 hrs as overloads</w:t>
      </w:r>
      <w:r w:rsidR="00CF34E5">
        <w:t xml:space="preserve"> (as needed) </w:t>
      </w:r>
      <w:r w:rsidR="00C07101">
        <w:t>and 2 o</w:t>
      </w:r>
      <w:r w:rsidR="00CF34E5">
        <w:t xml:space="preserve">ffice staff.  </w:t>
      </w:r>
    </w:p>
    <w:p w:rsidR="00FE526F" w:rsidRDefault="00FE526F" w:rsidP="00CF34E5">
      <w:pPr>
        <w:spacing w:line="276" w:lineRule="auto"/>
        <w:ind w:left="360" w:firstLine="360"/>
      </w:pPr>
      <w:r>
        <w:t xml:space="preserve">The quick growth of  our online nursing programs has been significant as evidenced by the increased credit hour production in Chart 5.  OD faculty have all volunteered to teach overloads as needed in order to sustain program growth.  </w:t>
      </w:r>
      <w:r w:rsidR="007826D7">
        <w:t xml:space="preserve">However, by the 2007-2008 academic year, it became evident that we needed additional online faculty to continue to grow our programs.  </w:t>
      </w:r>
      <w:r w:rsidR="007826D7" w:rsidRPr="0029356D">
        <w:t>Unfortunately, the impact of the national recession and correlating decrease in state appropriations resulted in an employment freeze at UNA</w:t>
      </w:r>
      <w:r w:rsidR="003015A3" w:rsidRPr="0029356D">
        <w:t xml:space="preserve"> in 2008.</w:t>
      </w:r>
    </w:p>
    <w:p w:rsidR="00FE526F" w:rsidRDefault="00FE526F" w:rsidP="00CF34E5">
      <w:pPr>
        <w:spacing w:line="276" w:lineRule="auto"/>
        <w:ind w:left="360" w:firstLine="360"/>
      </w:pPr>
    </w:p>
    <w:p w:rsidR="00FE526F" w:rsidRDefault="00AE5935" w:rsidP="00AE5935">
      <w:pPr>
        <w:spacing w:line="276" w:lineRule="auto"/>
        <w:ind w:left="360" w:firstLine="360"/>
        <w:rPr>
          <w:b/>
        </w:rPr>
      </w:pPr>
      <w:r>
        <w:t xml:space="preserve">              </w:t>
      </w:r>
      <w:r w:rsidR="007826D7" w:rsidRPr="007826D7">
        <w:rPr>
          <w:b/>
        </w:rPr>
        <w:t>Chart 5.  Credit Hour Production</w:t>
      </w:r>
    </w:p>
    <w:p w:rsidR="00ED386D" w:rsidRPr="007826D7" w:rsidRDefault="00ED386D" w:rsidP="00AE5935">
      <w:pPr>
        <w:spacing w:line="276" w:lineRule="auto"/>
        <w:ind w:left="360" w:firstLine="360"/>
        <w:rPr>
          <w:b/>
        </w:rPr>
      </w:pPr>
      <w:r>
        <w:rPr>
          <w:b/>
          <w:noProof/>
        </w:rPr>
        <w:drawing>
          <wp:anchor distT="0" distB="0" distL="114300" distR="114300" simplePos="0" relativeHeight="251659264" behindDoc="0" locked="0" layoutInCell="1" allowOverlap="1">
            <wp:simplePos x="0" y="0"/>
            <wp:positionH relativeFrom="column">
              <wp:posOffset>885825</wp:posOffset>
            </wp:positionH>
            <wp:positionV relativeFrom="paragraph">
              <wp:posOffset>1270</wp:posOffset>
            </wp:positionV>
            <wp:extent cx="4692650" cy="1943100"/>
            <wp:effectExtent l="19050" t="0" r="12700" b="0"/>
            <wp:wrapNone/>
            <wp:docPr id="15"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7826D7" w:rsidRDefault="009E2CD0" w:rsidP="00CF34E5">
      <w:pPr>
        <w:spacing w:line="276" w:lineRule="auto"/>
        <w:ind w:left="360" w:firstLine="360"/>
      </w:pPr>
      <w:r>
        <w:rPr>
          <w:noProof/>
        </w:rPr>
        <w:t xml:space="preserve"> </w:t>
      </w:r>
    </w:p>
    <w:p w:rsidR="007826D7" w:rsidRDefault="007826D7" w:rsidP="00CF34E5">
      <w:pPr>
        <w:spacing w:line="276" w:lineRule="auto"/>
        <w:ind w:left="360" w:firstLine="360"/>
      </w:pPr>
    </w:p>
    <w:p w:rsidR="00FE526F" w:rsidRDefault="00FE526F" w:rsidP="00CF34E5">
      <w:pPr>
        <w:spacing w:line="276" w:lineRule="auto"/>
        <w:ind w:left="360" w:firstLine="360"/>
      </w:pPr>
    </w:p>
    <w:p w:rsidR="00FE526F" w:rsidRDefault="00FE526F" w:rsidP="00CF34E5">
      <w:pPr>
        <w:spacing w:line="276" w:lineRule="auto"/>
        <w:ind w:left="360" w:firstLine="360"/>
      </w:pPr>
    </w:p>
    <w:p w:rsidR="00EC2D86" w:rsidRDefault="00EC2D86" w:rsidP="00EC2D86">
      <w:pPr>
        <w:spacing w:line="276" w:lineRule="auto"/>
        <w:ind w:left="360"/>
      </w:pPr>
    </w:p>
    <w:p w:rsidR="00FE526F" w:rsidRDefault="00FE526F" w:rsidP="00EC2D86">
      <w:pPr>
        <w:spacing w:line="276" w:lineRule="auto"/>
        <w:ind w:left="360"/>
      </w:pPr>
    </w:p>
    <w:p w:rsidR="00ED386D" w:rsidRDefault="00ED386D" w:rsidP="00AE5935">
      <w:pPr>
        <w:spacing w:line="276" w:lineRule="auto"/>
        <w:ind w:left="360" w:firstLine="360"/>
      </w:pPr>
    </w:p>
    <w:p w:rsidR="00ED386D" w:rsidRDefault="00ED386D" w:rsidP="00AE5935">
      <w:pPr>
        <w:spacing w:line="276" w:lineRule="auto"/>
        <w:ind w:left="360" w:firstLine="360"/>
      </w:pPr>
    </w:p>
    <w:p w:rsidR="00ED386D" w:rsidRDefault="00ED386D" w:rsidP="00AE5935">
      <w:pPr>
        <w:spacing w:line="276" w:lineRule="auto"/>
        <w:ind w:left="360" w:firstLine="360"/>
      </w:pPr>
    </w:p>
    <w:p w:rsidR="00ED386D" w:rsidRDefault="00ED386D" w:rsidP="00AE5935">
      <w:pPr>
        <w:spacing w:line="276" w:lineRule="auto"/>
        <w:ind w:left="360" w:firstLine="360"/>
      </w:pPr>
    </w:p>
    <w:p w:rsidR="00E76C8A" w:rsidRDefault="00211F62" w:rsidP="00AE5935">
      <w:pPr>
        <w:spacing w:line="276" w:lineRule="auto"/>
        <w:ind w:left="360" w:firstLine="360"/>
      </w:pPr>
      <w:r>
        <w:t>All OD faculty, including adjunct and TD faculty who teach sections of OD courses, are proficient in</w:t>
      </w:r>
      <w:r w:rsidR="00BB5782">
        <w:t xml:space="preserve"> the use of eCollege for </w:t>
      </w:r>
      <w:r>
        <w:t>online course development and online pedagogy.</w:t>
      </w:r>
      <w:r w:rsidR="00BB5782">
        <w:t xml:space="preserve">  </w:t>
      </w:r>
      <w:r w:rsidR="00B94630">
        <w:t>The eCollege platform has been used since the online nursing program began in January, 2001.  By consistently using the same online platform to deliver our online nursing courses, faculty have achieved proficiency and can focus on teaching and interacti</w:t>
      </w:r>
      <w:r w:rsidR="00D75262">
        <w:t>ng</w:t>
      </w:r>
      <w:r w:rsidR="00E76C8A">
        <w:t xml:space="preserve"> with students.  All faculty who teach online have had “one-on-one” training by eCollege staff or through our faculty mentoring program.  OD faculty attend an online education conference each year in Denver, CO that is sponsored by eCollege and/or similar conferences sponsored by other </w:t>
      </w:r>
      <w:r w:rsidR="00E76C8A">
        <w:lastRenderedPageBreak/>
        <w:t xml:space="preserve">organizations.  </w:t>
      </w:r>
      <w:r w:rsidR="00E96AD0">
        <w:t>OD</w:t>
      </w:r>
      <w:r w:rsidR="00E76C8A">
        <w:t xml:space="preserve"> faculty also mentor TD faculty in the use of eCollege, Articulate and </w:t>
      </w:r>
      <w:r w:rsidR="00E96AD0">
        <w:t xml:space="preserve">concepts of </w:t>
      </w:r>
      <w:r w:rsidR="00E76C8A">
        <w:t xml:space="preserve">online pedagogy.  Our faculty mentoring program has been extremely successful in preparing faculty to teach online and to entice faculty to postpone retirement by teaching online.  . </w:t>
      </w:r>
      <w:r w:rsidR="00B94630">
        <w:t xml:space="preserve"> </w:t>
      </w:r>
    </w:p>
    <w:p w:rsidR="00D75262" w:rsidRDefault="00E76C8A" w:rsidP="00AE5935">
      <w:pPr>
        <w:spacing w:line="276" w:lineRule="auto"/>
        <w:ind w:left="360" w:firstLine="360"/>
      </w:pPr>
      <w:r>
        <w:t xml:space="preserve">Student satisfaction with OD faculty and online nursing courses is consistently high.  </w:t>
      </w:r>
      <w:r w:rsidR="008935D4">
        <w:t>Data in</w:t>
      </w:r>
      <w:r w:rsidR="00E96AD0">
        <w:t xml:space="preserve"> the</w:t>
      </w:r>
      <w:r w:rsidR="008935D4">
        <w:t xml:space="preserve"> next four </w:t>
      </w:r>
      <w:r w:rsidR="00D75262">
        <w:t xml:space="preserve">charts </w:t>
      </w:r>
      <w:r w:rsidR="00AE5935">
        <w:t xml:space="preserve">represent </w:t>
      </w:r>
      <w:r w:rsidR="00D75262">
        <w:t xml:space="preserve">a </w:t>
      </w:r>
      <w:r w:rsidR="008935D4">
        <w:t xml:space="preserve">sampling of </w:t>
      </w:r>
      <w:r>
        <w:t xml:space="preserve">question </w:t>
      </w:r>
      <w:r w:rsidR="008935D4">
        <w:t>summaries</w:t>
      </w:r>
      <w:r>
        <w:t xml:space="preserve"> from</w:t>
      </w:r>
      <w:r w:rsidR="00D75262">
        <w:t xml:space="preserve"> all </w:t>
      </w:r>
      <w:r w:rsidR="00AE5935">
        <w:t xml:space="preserve">online </w:t>
      </w:r>
      <w:r w:rsidR="00D75262">
        <w:t>course evaluations from the Fall 2009 semester</w:t>
      </w:r>
      <w:r w:rsidR="00AE5935">
        <w:t xml:space="preserve">.  </w:t>
      </w:r>
      <w:r w:rsidR="008935D4">
        <w:t>Course evaluation data is consistent over the five year period of this review.</w:t>
      </w:r>
    </w:p>
    <w:p w:rsidR="00E96AD0" w:rsidRDefault="00E96AD0" w:rsidP="00AE5935">
      <w:pPr>
        <w:spacing w:line="276" w:lineRule="auto"/>
        <w:ind w:left="360" w:firstLine="360"/>
      </w:pPr>
    </w:p>
    <w:p w:rsidR="00AE5935" w:rsidRDefault="008935D4" w:rsidP="008935D4">
      <w:pPr>
        <w:ind w:left="720"/>
        <w:rPr>
          <w:rFonts w:ascii="Arial" w:hAnsi="Arial" w:cs="Arial"/>
          <w:b/>
          <w:bCs/>
          <w:sz w:val="16"/>
          <w:szCs w:val="16"/>
        </w:rPr>
      </w:pPr>
      <w:r>
        <w:rPr>
          <w:rFonts w:ascii="Arial" w:hAnsi="Arial" w:cs="Arial"/>
          <w:b/>
          <w:bCs/>
          <w:sz w:val="16"/>
          <w:szCs w:val="16"/>
        </w:rPr>
        <w:t xml:space="preserve">            </w:t>
      </w:r>
      <w:r w:rsidR="009E2CD0">
        <w:rPr>
          <w:rFonts w:ascii="Arial" w:hAnsi="Arial" w:cs="Arial"/>
          <w:b/>
          <w:bCs/>
          <w:sz w:val="16"/>
          <w:szCs w:val="16"/>
        </w:rPr>
        <w:t xml:space="preserve"> </w:t>
      </w:r>
      <w:r>
        <w:rPr>
          <w:rFonts w:ascii="Arial" w:hAnsi="Arial" w:cs="Arial"/>
          <w:b/>
          <w:bCs/>
          <w:sz w:val="16"/>
          <w:szCs w:val="16"/>
        </w:rPr>
        <w:t xml:space="preserve">  </w:t>
      </w:r>
      <w:r w:rsidR="00810855">
        <w:rPr>
          <w:rFonts w:ascii="Arial" w:hAnsi="Arial" w:cs="Arial"/>
          <w:b/>
          <w:bCs/>
          <w:sz w:val="16"/>
          <w:szCs w:val="16"/>
        </w:rPr>
        <w:t xml:space="preserve"> </w:t>
      </w:r>
      <w:r w:rsidR="009E2CD0" w:rsidRPr="008935D4">
        <w:rPr>
          <w:b/>
          <w:bCs/>
        </w:rPr>
        <w:t>Chart 6.</w:t>
      </w:r>
      <w:r w:rsidR="009E2CD0" w:rsidRPr="008935D4">
        <w:rPr>
          <w:rFonts w:ascii="Arial" w:hAnsi="Arial" w:cs="Arial"/>
          <w:b/>
          <w:bCs/>
          <w:sz w:val="18"/>
          <w:szCs w:val="16"/>
        </w:rPr>
        <w:t xml:space="preserve"> </w:t>
      </w:r>
      <w:r w:rsidR="00AE5935">
        <w:rPr>
          <w:rFonts w:ascii="Arial" w:hAnsi="Arial" w:cs="Arial"/>
          <w:b/>
          <w:bCs/>
          <w:sz w:val="16"/>
          <w:szCs w:val="16"/>
        </w:rPr>
        <w:t xml:space="preserve"> </w:t>
      </w:r>
      <w:r w:rsidR="00AE5935" w:rsidRPr="00E76C8A">
        <w:rPr>
          <w:rFonts w:ascii="Arial" w:hAnsi="Arial" w:cs="Arial"/>
          <w:b/>
          <w:bCs/>
          <w:sz w:val="18"/>
          <w:szCs w:val="16"/>
        </w:rPr>
        <w:t>Navigation through the online course was easily accomplished.</w:t>
      </w:r>
    </w:p>
    <w:p w:rsidR="00AE5935" w:rsidRDefault="00AE5935" w:rsidP="00AE5935">
      <w:pPr>
        <w:spacing w:line="276" w:lineRule="auto"/>
        <w:ind w:left="360"/>
        <w:jc w:val="center"/>
      </w:pPr>
      <w:r w:rsidRPr="00AE5935">
        <w:rPr>
          <w:noProof/>
        </w:rPr>
        <w:drawing>
          <wp:inline distT="0" distB="0" distL="0" distR="0">
            <wp:extent cx="4381500" cy="1704975"/>
            <wp:effectExtent l="19050" t="0" r="19050" b="0"/>
            <wp:docPr id="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5262" w:rsidRPr="008935D4" w:rsidRDefault="00D75262" w:rsidP="00AE5935">
      <w:pPr>
        <w:spacing w:line="276" w:lineRule="auto"/>
        <w:ind w:left="360"/>
        <w:jc w:val="center"/>
      </w:pPr>
    </w:p>
    <w:p w:rsidR="00D75262" w:rsidRPr="00E76C8A" w:rsidRDefault="00810855" w:rsidP="00810855">
      <w:pPr>
        <w:rPr>
          <w:rFonts w:ascii="Arial" w:hAnsi="Arial" w:cs="Arial"/>
          <w:b/>
          <w:bCs/>
          <w:sz w:val="18"/>
          <w:szCs w:val="16"/>
        </w:rPr>
      </w:pPr>
      <w:r>
        <w:rPr>
          <w:b/>
          <w:bCs/>
        </w:rPr>
        <w:t xml:space="preserve">                       </w:t>
      </w:r>
      <w:r w:rsidR="008935D4" w:rsidRPr="008935D4">
        <w:rPr>
          <w:b/>
          <w:bCs/>
        </w:rPr>
        <w:t>Chart 7</w:t>
      </w:r>
      <w:r w:rsidR="008935D4" w:rsidRPr="00E76C8A">
        <w:rPr>
          <w:rFonts w:ascii="Arial" w:hAnsi="Arial" w:cs="Arial"/>
          <w:b/>
          <w:bCs/>
          <w:sz w:val="18"/>
          <w:szCs w:val="16"/>
        </w:rPr>
        <w:t xml:space="preserve">.  </w:t>
      </w:r>
      <w:r w:rsidR="00D75262" w:rsidRPr="00E76C8A">
        <w:rPr>
          <w:rFonts w:ascii="Arial" w:hAnsi="Arial" w:cs="Arial"/>
          <w:b/>
          <w:bCs/>
          <w:sz w:val="18"/>
          <w:szCs w:val="16"/>
        </w:rPr>
        <w:t>The instructor effectively made use of the online environment for learning.</w:t>
      </w:r>
    </w:p>
    <w:p w:rsidR="00D75262" w:rsidRDefault="00AE5935" w:rsidP="00AE5935">
      <w:pPr>
        <w:spacing w:line="276" w:lineRule="auto"/>
        <w:ind w:left="360"/>
        <w:jc w:val="center"/>
      </w:pPr>
      <w:r w:rsidRPr="00AE5935">
        <w:rPr>
          <w:noProof/>
        </w:rPr>
        <w:drawing>
          <wp:inline distT="0" distB="0" distL="0" distR="0">
            <wp:extent cx="4429125" cy="1638300"/>
            <wp:effectExtent l="19050" t="0" r="9525" b="0"/>
            <wp:docPr id="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2CD0" w:rsidRDefault="009E2CD0" w:rsidP="00AE5935">
      <w:pPr>
        <w:jc w:val="center"/>
        <w:rPr>
          <w:rFonts w:ascii="Arial" w:hAnsi="Arial" w:cs="Arial"/>
          <w:b/>
          <w:bCs/>
          <w:sz w:val="16"/>
          <w:szCs w:val="16"/>
        </w:rPr>
      </w:pPr>
    </w:p>
    <w:p w:rsidR="00E96AD0" w:rsidRDefault="00E96AD0" w:rsidP="00AE5935">
      <w:pPr>
        <w:jc w:val="center"/>
        <w:rPr>
          <w:rFonts w:ascii="Arial" w:hAnsi="Arial" w:cs="Arial"/>
          <w:b/>
          <w:bCs/>
          <w:sz w:val="16"/>
          <w:szCs w:val="16"/>
        </w:rPr>
      </w:pPr>
    </w:p>
    <w:p w:rsidR="00D75262" w:rsidRDefault="008935D4" w:rsidP="008935D4">
      <w:pPr>
        <w:jc w:val="center"/>
      </w:pPr>
      <w:r>
        <w:rPr>
          <w:b/>
          <w:bCs/>
        </w:rPr>
        <w:t xml:space="preserve">                 </w:t>
      </w:r>
      <w:r w:rsidR="00810855">
        <w:rPr>
          <w:b/>
          <w:bCs/>
        </w:rPr>
        <w:t xml:space="preserve">    </w:t>
      </w:r>
      <w:r w:rsidRPr="008935D4">
        <w:rPr>
          <w:b/>
          <w:bCs/>
        </w:rPr>
        <w:t>Chart 8.</w:t>
      </w:r>
      <w:r>
        <w:rPr>
          <w:rFonts w:ascii="Arial" w:hAnsi="Arial" w:cs="Arial"/>
          <w:b/>
          <w:bCs/>
        </w:rPr>
        <w:t xml:space="preserve"> </w:t>
      </w:r>
      <w:r w:rsidR="00AE5935">
        <w:rPr>
          <w:rFonts w:ascii="Arial" w:hAnsi="Arial" w:cs="Arial"/>
          <w:b/>
          <w:bCs/>
          <w:sz w:val="16"/>
          <w:szCs w:val="16"/>
        </w:rPr>
        <w:t xml:space="preserve"> </w:t>
      </w:r>
      <w:r w:rsidR="00AE5935" w:rsidRPr="00E76C8A">
        <w:rPr>
          <w:rFonts w:ascii="Arial" w:hAnsi="Arial" w:cs="Arial"/>
          <w:b/>
          <w:bCs/>
          <w:sz w:val="18"/>
          <w:szCs w:val="16"/>
        </w:rPr>
        <w:t>Overall, how satisfied are you with our online course delivery system (eCollege).</w:t>
      </w:r>
      <w:r w:rsidR="009E2CD0" w:rsidRPr="00E76C8A">
        <w:rPr>
          <w:noProof/>
          <w:sz w:val="28"/>
        </w:rPr>
        <w:t xml:space="preserve"> </w:t>
      </w:r>
    </w:p>
    <w:p w:rsidR="00D75262" w:rsidRDefault="008935D4" w:rsidP="00B94630">
      <w:pPr>
        <w:spacing w:line="276" w:lineRule="auto"/>
        <w:ind w:left="360"/>
      </w:pPr>
      <w:r>
        <w:rPr>
          <w:noProof/>
        </w:rPr>
        <w:drawing>
          <wp:anchor distT="0" distB="0" distL="114300" distR="114300" simplePos="0" relativeHeight="251661312" behindDoc="0" locked="0" layoutInCell="1" allowOverlap="1">
            <wp:simplePos x="0" y="0"/>
            <wp:positionH relativeFrom="column">
              <wp:posOffset>904875</wp:posOffset>
            </wp:positionH>
            <wp:positionV relativeFrom="paragraph">
              <wp:posOffset>8890</wp:posOffset>
            </wp:positionV>
            <wp:extent cx="4505325" cy="1771650"/>
            <wp:effectExtent l="19050" t="0" r="9525" b="0"/>
            <wp:wrapNone/>
            <wp:docPr id="11"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75262" w:rsidRDefault="00D75262" w:rsidP="00B94630">
      <w:pPr>
        <w:spacing w:line="276" w:lineRule="auto"/>
        <w:ind w:left="360"/>
      </w:pPr>
    </w:p>
    <w:p w:rsidR="009E2CD0" w:rsidRDefault="009E2CD0" w:rsidP="00B94630">
      <w:pPr>
        <w:spacing w:line="276" w:lineRule="auto"/>
        <w:ind w:left="360"/>
      </w:pPr>
    </w:p>
    <w:p w:rsidR="00E96AD0" w:rsidRDefault="00E96AD0" w:rsidP="00B94630">
      <w:pPr>
        <w:spacing w:line="276" w:lineRule="auto"/>
        <w:ind w:left="360"/>
      </w:pPr>
    </w:p>
    <w:p w:rsidR="00E96AD0" w:rsidRDefault="00E96AD0" w:rsidP="00B94630">
      <w:pPr>
        <w:spacing w:line="276" w:lineRule="auto"/>
        <w:ind w:left="360"/>
      </w:pPr>
    </w:p>
    <w:p w:rsidR="009E2CD0" w:rsidRDefault="009E2CD0" w:rsidP="00B94630">
      <w:pPr>
        <w:spacing w:line="276" w:lineRule="auto"/>
        <w:ind w:left="360"/>
      </w:pPr>
    </w:p>
    <w:p w:rsidR="009E2CD0" w:rsidRDefault="009E2CD0" w:rsidP="00B94630">
      <w:pPr>
        <w:spacing w:line="276" w:lineRule="auto"/>
        <w:ind w:left="360"/>
      </w:pPr>
    </w:p>
    <w:p w:rsidR="00086D12" w:rsidRDefault="00086D12" w:rsidP="00B94630">
      <w:pPr>
        <w:spacing w:line="276" w:lineRule="auto"/>
        <w:ind w:left="360"/>
      </w:pPr>
    </w:p>
    <w:p w:rsidR="00086D12" w:rsidRDefault="00086D12" w:rsidP="00B94630">
      <w:pPr>
        <w:spacing w:line="276" w:lineRule="auto"/>
        <w:ind w:left="360"/>
      </w:pPr>
    </w:p>
    <w:p w:rsidR="00086D12" w:rsidRDefault="00086D12" w:rsidP="00B94630">
      <w:pPr>
        <w:spacing w:line="276" w:lineRule="auto"/>
        <w:ind w:left="360"/>
      </w:pPr>
    </w:p>
    <w:p w:rsidR="008935D4" w:rsidRDefault="008935D4" w:rsidP="008935D4">
      <w:pPr>
        <w:ind w:left="720"/>
        <w:rPr>
          <w:rFonts w:ascii="Arial" w:hAnsi="Arial" w:cs="Arial"/>
          <w:b/>
          <w:bCs/>
          <w:sz w:val="18"/>
          <w:szCs w:val="16"/>
        </w:rPr>
      </w:pPr>
      <w:r>
        <w:rPr>
          <w:b/>
          <w:bCs/>
          <w:sz w:val="18"/>
          <w:szCs w:val="18"/>
        </w:rPr>
        <w:lastRenderedPageBreak/>
        <w:t xml:space="preserve">          </w:t>
      </w:r>
      <w:r w:rsidR="00810855">
        <w:rPr>
          <w:b/>
          <w:bCs/>
          <w:sz w:val="18"/>
          <w:szCs w:val="18"/>
        </w:rPr>
        <w:t xml:space="preserve">  </w:t>
      </w:r>
      <w:r w:rsidR="00E76C8A">
        <w:rPr>
          <w:b/>
          <w:bCs/>
          <w:sz w:val="18"/>
          <w:szCs w:val="18"/>
        </w:rPr>
        <w:t xml:space="preserve"> </w:t>
      </w:r>
      <w:r w:rsidRPr="008935D4">
        <w:rPr>
          <w:b/>
          <w:bCs/>
        </w:rPr>
        <w:t>Chart 9.</w:t>
      </w:r>
      <w:r>
        <w:rPr>
          <w:rFonts w:ascii="Arial" w:hAnsi="Arial" w:cs="Arial"/>
          <w:b/>
          <w:bCs/>
          <w:sz w:val="16"/>
          <w:szCs w:val="16"/>
        </w:rPr>
        <w:t xml:space="preserve"> </w:t>
      </w:r>
      <w:r w:rsidRPr="00E76C8A">
        <w:rPr>
          <w:rFonts w:ascii="Arial" w:hAnsi="Arial" w:cs="Arial"/>
          <w:b/>
          <w:bCs/>
          <w:sz w:val="18"/>
          <w:szCs w:val="16"/>
        </w:rPr>
        <w:t>The instructor provided learning enhancement activities in addition to text/lectures.</w:t>
      </w:r>
    </w:p>
    <w:p w:rsidR="00E96AD0" w:rsidRPr="00E76C8A" w:rsidRDefault="00E96AD0" w:rsidP="008935D4">
      <w:pPr>
        <w:ind w:left="720"/>
        <w:rPr>
          <w:rFonts w:ascii="Arial" w:hAnsi="Arial" w:cs="Arial"/>
          <w:b/>
          <w:bCs/>
          <w:sz w:val="18"/>
          <w:szCs w:val="16"/>
        </w:rPr>
      </w:pPr>
    </w:p>
    <w:p w:rsidR="009E2CD0" w:rsidRDefault="008935D4" w:rsidP="008935D4">
      <w:pPr>
        <w:spacing w:line="276" w:lineRule="auto"/>
        <w:ind w:left="360"/>
        <w:jc w:val="center"/>
      </w:pPr>
      <w:r w:rsidRPr="008935D4">
        <w:rPr>
          <w:noProof/>
        </w:rPr>
        <w:drawing>
          <wp:inline distT="0" distB="0" distL="0" distR="0">
            <wp:extent cx="4524375" cy="1752600"/>
            <wp:effectExtent l="19050" t="0" r="9525" b="0"/>
            <wp:docPr id="18"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2CD0" w:rsidRDefault="009E2CD0" w:rsidP="008935D4">
      <w:pPr>
        <w:spacing w:line="276" w:lineRule="auto"/>
        <w:ind w:left="360"/>
        <w:jc w:val="center"/>
      </w:pPr>
    </w:p>
    <w:p w:rsidR="000329F4" w:rsidRDefault="009F4761" w:rsidP="00E96AD0">
      <w:pPr>
        <w:spacing w:line="276" w:lineRule="auto"/>
        <w:ind w:left="360" w:firstLine="360"/>
      </w:pPr>
      <w:r>
        <w:t xml:space="preserve">OD faculty are committed to providing the best possible enhancement activities in their online courses.  Nursing faculty are “early adopters” of technology, having implemented the first “completely online” program at UNA and are still paving the way with technology use and innovative programs.   </w:t>
      </w:r>
      <w:r w:rsidR="00E76C8A">
        <w:t>In addition to the eCollege online platform</w:t>
      </w:r>
      <w:r w:rsidR="00BB5782">
        <w:t>, the OD purchased licenses for Articulate software which allows faculty to develop interactive</w:t>
      </w:r>
      <w:r w:rsidR="00B94630">
        <w:t xml:space="preserve"> audiovisual </w:t>
      </w:r>
      <w:r w:rsidR="00BB5782">
        <w:t>content that can be integrated</w:t>
      </w:r>
      <w:r w:rsidR="00E76C8A">
        <w:t xml:space="preserve"> into their online courses.</w:t>
      </w:r>
      <w:r w:rsidR="00211F62">
        <w:t xml:space="preserve">  </w:t>
      </w:r>
      <w:r w:rsidR="00B94630">
        <w:t xml:space="preserve">All faculty who teach online have had “one-on-one” training by eCollege staff or through our faculty mentoring program.  </w:t>
      </w:r>
      <w:r w:rsidR="00D75262">
        <w:t xml:space="preserve">Online faculty </w:t>
      </w:r>
      <w:r w:rsidR="00E76C8A">
        <w:t xml:space="preserve">also </w:t>
      </w:r>
      <w:r w:rsidR="00D75262">
        <w:t>mentor TD faculty in the use of eCollege, Articulate and online pedagogy.  Our faculty mentoring program</w:t>
      </w:r>
      <w:r w:rsidR="00E76C8A">
        <w:t xml:space="preserve"> has been extremely successful in preparing faculty to teach online and to entice faculty to postpone retirement by teaching online.  </w:t>
      </w:r>
    </w:p>
    <w:p w:rsidR="001622B3" w:rsidRDefault="004663FB" w:rsidP="004663FB">
      <w:pPr>
        <w:spacing w:line="276" w:lineRule="auto"/>
        <w:ind w:left="360" w:firstLine="360"/>
      </w:pPr>
      <w:r>
        <w:t>OD faculty share their technology skills and teaching techni</w:t>
      </w:r>
      <w:r w:rsidR="00082444">
        <w:t>ques through professional</w:t>
      </w:r>
      <w:r w:rsidR="001622B3">
        <w:t xml:space="preserve"> presentations and publications:</w:t>
      </w:r>
    </w:p>
    <w:p w:rsidR="001622B3" w:rsidRDefault="00082444" w:rsidP="0029356D">
      <w:pPr>
        <w:pStyle w:val="ListParagraph"/>
        <w:numPr>
          <w:ilvl w:val="0"/>
          <w:numId w:val="14"/>
        </w:numPr>
        <w:spacing w:line="276" w:lineRule="auto"/>
        <w:ind w:left="1080"/>
      </w:pPr>
      <w:r>
        <w:t>Dr. Wanda Bradford, Dr. Sue Bobek and Dr. Teresa Leonard presented “Teaching an Old Dog New Tricks: Tips for Online Nursing Education” at the Creative Teaching for Nursing Educators 30</w:t>
      </w:r>
      <w:r w:rsidRPr="002D00E8">
        <w:rPr>
          <w:vertAlign w:val="superscript"/>
        </w:rPr>
        <w:t>th</w:t>
      </w:r>
      <w:r>
        <w:t xml:space="preserve"> Annual Workshop” in Memphis, TN.</w:t>
      </w:r>
      <w:r w:rsidR="001622B3">
        <w:t xml:space="preserve"> </w:t>
      </w:r>
      <w:r>
        <w:t xml:space="preserve">  </w:t>
      </w:r>
      <w:r w:rsidR="001622B3">
        <w:t>(2005)</w:t>
      </w:r>
    </w:p>
    <w:p w:rsidR="002D00E8" w:rsidRDefault="002D00E8" w:rsidP="0029356D">
      <w:pPr>
        <w:pStyle w:val="ListParagraph"/>
        <w:spacing w:line="276" w:lineRule="auto"/>
        <w:ind w:left="1080"/>
      </w:pPr>
    </w:p>
    <w:p w:rsidR="001622B3" w:rsidRDefault="00082444" w:rsidP="0029356D">
      <w:pPr>
        <w:pStyle w:val="ListParagraph"/>
        <w:numPr>
          <w:ilvl w:val="0"/>
          <w:numId w:val="14"/>
        </w:numPr>
        <w:spacing w:line="276" w:lineRule="auto"/>
        <w:ind w:left="1080"/>
      </w:pPr>
      <w:r>
        <w:t xml:space="preserve">Dr. Wanda Bradford, Mrs. Cathy Malone and Dr. Teresa Leonard </w:t>
      </w:r>
      <w:r w:rsidR="001622B3">
        <w:t xml:space="preserve">each presented at </w:t>
      </w:r>
      <w:r>
        <w:t xml:space="preserve">the University of North Alabama </w:t>
      </w:r>
      <w:r w:rsidR="00980703" w:rsidRPr="002D00E8">
        <w:rPr>
          <w:i/>
        </w:rPr>
        <w:t xml:space="preserve">Best Practices in </w:t>
      </w:r>
      <w:r w:rsidRPr="002D00E8">
        <w:rPr>
          <w:i/>
        </w:rPr>
        <w:t>Distant Learning Conference</w:t>
      </w:r>
      <w:r>
        <w:t xml:space="preserve"> in 20008. </w:t>
      </w:r>
    </w:p>
    <w:p w:rsidR="002D00E8" w:rsidRDefault="002D00E8" w:rsidP="0029356D">
      <w:pPr>
        <w:pStyle w:val="ListParagraph"/>
        <w:spacing w:line="276" w:lineRule="auto"/>
        <w:ind w:left="1080"/>
      </w:pPr>
    </w:p>
    <w:p w:rsidR="004663FB" w:rsidRPr="00FC0276" w:rsidRDefault="00FC0276" w:rsidP="0029356D">
      <w:pPr>
        <w:pStyle w:val="ListParagraph"/>
        <w:numPr>
          <w:ilvl w:val="0"/>
          <w:numId w:val="14"/>
        </w:numPr>
        <w:spacing w:line="276" w:lineRule="auto"/>
        <w:ind w:left="1080"/>
      </w:pPr>
      <w:r>
        <w:t xml:space="preserve">Dr. Leonard and Dr. Bradford co-authored an article </w:t>
      </w:r>
      <w:r w:rsidRPr="002D00E8">
        <w:rPr>
          <w:i/>
        </w:rPr>
        <w:t>“RN to BSN? Yes You Can”</w:t>
      </w:r>
      <w:r>
        <w:t xml:space="preserve"> published in </w:t>
      </w:r>
      <w:r w:rsidRPr="002D00E8">
        <w:rPr>
          <w:i/>
        </w:rPr>
        <w:t xml:space="preserve">Imprint </w:t>
      </w:r>
      <w:r>
        <w:t>in 2009.</w:t>
      </w:r>
    </w:p>
    <w:p w:rsidR="00365450" w:rsidRDefault="00365450" w:rsidP="002D00E8">
      <w:pPr>
        <w:spacing w:line="276" w:lineRule="auto"/>
        <w:ind w:left="720"/>
      </w:pPr>
    </w:p>
    <w:p w:rsidR="001F6363" w:rsidRDefault="001F6363" w:rsidP="002D00E8">
      <w:pPr>
        <w:ind w:firstLine="360"/>
        <w:rPr>
          <w:b/>
        </w:rPr>
      </w:pPr>
      <w:r w:rsidRPr="00980703">
        <w:rPr>
          <w:b/>
        </w:rPr>
        <w:t>Research productivity</w:t>
      </w:r>
    </w:p>
    <w:p w:rsidR="00980703" w:rsidRDefault="00980703" w:rsidP="00980703"/>
    <w:p w:rsidR="009B43CD" w:rsidRPr="00806412" w:rsidRDefault="009B43CD" w:rsidP="0029356D">
      <w:pPr>
        <w:spacing w:line="276" w:lineRule="auto"/>
        <w:ind w:left="360" w:firstLine="720"/>
      </w:pPr>
      <w:r>
        <w:t>Faculty in the online nursing department</w:t>
      </w:r>
      <w:r w:rsidR="00B91F6F">
        <w:t xml:space="preserve"> </w:t>
      </w:r>
      <w:r>
        <w:t xml:space="preserve">focus on teaching and on professional practice, however, they actively </w:t>
      </w:r>
      <w:r w:rsidR="00B91F6F">
        <w:t>conduct research and make other</w:t>
      </w:r>
      <w:r>
        <w:t xml:space="preserve"> intellectual</w:t>
      </w:r>
      <w:r w:rsidR="00B91F6F">
        <w:t>/professional</w:t>
      </w:r>
      <w:r>
        <w:t xml:space="preserve"> contributions</w:t>
      </w:r>
      <w:r w:rsidR="00AE6095">
        <w:t>.</w:t>
      </w:r>
      <w:r w:rsidR="00B91F6F">
        <w:t xml:space="preserve">  Table 1 highlights </w:t>
      </w:r>
      <w:r w:rsidR="00FF5815">
        <w:t xml:space="preserve">select </w:t>
      </w:r>
      <w:r w:rsidR="00B91F6F">
        <w:t>faculty activities involving research projects, grants, presentations and publications during the five year period under review.</w:t>
      </w:r>
      <w:r w:rsidR="000B5AD8">
        <w:t xml:space="preserve"> Of seven faculty in </w:t>
      </w:r>
      <w:r w:rsidR="000B5AD8">
        <w:lastRenderedPageBreak/>
        <w:t xml:space="preserve">the Online Department, two have not participated in or conducted research activities or grants.  </w:t>
      </w:r>
      <w:r w:rsidR="004B7803">
        <w:t>Both of those</w:t>
      </w:r>
      <w:r w:rsidR="00854C45">
        <w:t xml:space="preserve"> faculty members are approaching retirement, with one already in the DROP program and the other planning on retirement within the year.</w:t>
      </w:r>
    </w:p>
    <w:p w:rsidR="00B91F6F" w:rsidRDefault="00B91F6F" w:rsidP="00980703"/>
    <w:p w:rsidR="00861B12" w:rsidRPr="000B5AD8" w:rsidRDefault="00B91F6F" w:rsidP="00980703">
      <w:pPr>
        <w:rPr>
          <w:b/>
        </w:rPr>
      </w:pPr>
      <w:r w:rsidRPr="000B5AD8">
        <w:rPr>
          <w:b/>
        </w:rPr>
        <w:t>Table 1.  Faculty Highlights</w:t>
      </w:r>
      <w:r w:rsidR="00980703" w:rsidRPr="000B5AD8">
        <w:rPr>
          <w:b/>
        </w:rPr>
        <w:tab/>
      </w:r>
    </w:p>
    <w:tbl>
      <w:tblPr>
        <w:tblStyle w:val="TableGrid"/>
        <w:tblW w:w="5080" w:type="pct"/>
        <w:tblLook w:val="04A0" w:firstRow="1" w:lastRow="0" w:firstColumn="1" w:lastColumn="0" w:noHBand="0" w:noVBand="1"/>
      </w:tblPr>
      <w:tblGrid>
        <w:gridCol w:w="2538"/>
        <w:gridCol w:w="3691"/>
        <w:gridCol w:w="3500"/>
      </w:tblGrid>
      <w:tr w:rsidR="009B43CD" w:rsidTr="00740815">
        <w:trPr>
          <w:trHeight w:val="80"/>
        </w:trPr>
        <w:tc>
          <w:tcPr>
            <w:tcW w:w="1304" w:type="pct"/>
            <w:tcBorders>
              <w:top w:val="single" w:sz="4" w:space="0" w:color="auto"/>
            </w:tcBorders>
            <w:vAlign w:val="center"/>
          </w:tcPr>
          <w:p w:rsidR="00861B12" w:rsidRPr="00FC3DE4" w:rsidRDefault="00AE1582" w:rsidP="00861B12">
            <w:pPr>
              <w:rPr>
                <w:b/>
              </w:rPr>
            </w:pPr>
            <w:r>
              <w:rPr>
                <w:b/>
              </w:rPr>
              <w:t>Faculty Member</w:t>
            </w:r>
          </w:p>
        </w:tc>
        <w:tc>
          <w:tcPr>
            <w:tcW w:w="1897" w:type="pct"/>
            <w:tcBorders>
              <w:top w:val="single" w:sz="4" w:space="0" w:color="auto"/>
              <w:right w:val="single" w:sz="4" w:space="0" w:color="auto"/>
            </w:tcBorders>
            <w:vAlign w:val="center"/>
          </w:tcPr>
          <w:p w:rsidR="00861B12" w:rsidRDefault="00861B12" w:rsidP="00FC3DE4">
            <w:pPr>
              <w:jc w:val="center"/>
              <w:rPr>
                <w:b/>
              </w:rPr>
            </w:pPr>
            <w:r>
              <w:rPr>
                <w:b/>
              </w:rPr>
              <w:t>Research</w:t>
            </w:r>
            <w:r w:rsidR="00945FE1">
              <w:rPr>
                <w:b/>
              </w:rPr>
              <w:t xml:space="preserve"> Activities</w:t>
            </w:r>
            <w:r>
              <w:rPr>
                <w:b/>
              </w:rPr>
              <w:t>/Grant</w:t>
            </w:r>
            <w:r w:rsidR="00945FE1">
              <w:rPr>
                <w:b/>
              </w:rPr>
              <w:t>s</w:t>
            </w:r>
          </w:p>
        </w:tc>
        <w:tc>
          <w:tcPr>
            <w:tcW w:w="1799" w:type="pct"/>
            <w:tcBorders>
              <w:top w:val="single" w:sz="4" w:space="0" w:color="auto"/>
              <w:right w:val="single" w:sz="4" w:space="0" w:color="auto"/>
            </w:tcBorders>
            <w:vAlign w:val="center"/>
          </w:tcPr>
          <w:p w:rsidR="00861B12" w:rsidRDefault="00861B12" w:rsidP="00FC3DE4">
            <w:pPr>
              <w:jc w:val="center"/>
              <w:rPr>
                <w:b/>
              </w:rPr>
            </w:pPr>
            <w:r>
              <w:rPr>
                <w:b/>
              </w:rPr>
              <w:t>Presentation</w:t>
            </w:r>
            <w:r w:rsidR="000159AD">
              <w:rPr>
                <w:b/>
              </w:rPr>
              <w:t>s</w:t>
            </w:r>
            <w:r>
              <w:rPr>
                <w:b/>
              </w:rPr>
              <w:t>/Publication</w:t>
            </w:r>
            <w:r w:rsidR="000159AD">
              <w:rPr>
                <w:b/>
              </w:rPr>
              <w:t>s</w:t>
            </w:r>
          </w:p>
        </w:tc>
      </w:tr>
      <w:tr w:rsidR="00861B12" w:rsidTr="00740815">
        <w:trPr>
          <w:trHeight w:val="70"/>
        </w:trPr>
        <w:tc>
          <w:tcPr>
            <w:tcW w:w="1304" w:type="pct"/>
            <w:tcBorders>
              <w:left w:val="single" w:sz="4" w:space="0" w:color="auto"/>
            </w:tcBorders>
          </w:tcPr>
          <w:p w:rsidR="00861B12" w:rsidRDefault="00861B12" w:rsidP="00FC3DE4">
            <w:pPr>
              <w:jc w:val="center"/>
            </w:pPr>
            <w:r>
              <w:t>Mrs. Linda Austin</w:t>
            </w:r>
          </w:p>
        </w:tc>
        <w:tc>
          <w:tcPr>
            <w:tcW w:w="1897" w:type="pct"/>
            <w:tcBorders>
              <w:right w:val="single" w:sz="4" w:space="0" w:color="auto"/>
            </w:tcBorders>
          </w:tcPr>
          <w:p w:rsidR="00861B12" w:rsidRDefault="00861B12" w:rsidP="00E0308A">
            <w:pPr>
              <w:rPr>
                <w:szCs w:val="20"/>
              </w:rPr>
            </w:pPr>
            <w:r>
              <w:t>M</w:t>
            </w:r>
            <w:r w:rsidRPr="00174523">
              <w:t xml:space="preserve">ember of </w:t>
            </w:r>
            <w:r w:rsidRPr="00174523">
              <w:rPr>
                <w:szCs w:val="20"/>
              </w:rPr>
              <w:t>a research team headed by Dr. Patricia Stevens</w:t>
            </w:r>
            <w:r w:rsidR="000B5AD8">
              <w:rPr>
                <w:szCs w:val="20"/>
              </w:rPr>
              <w:t xml:space="preserve"> </w:t>
            </w:r>
            <w:r w:rsidRPr="00174523">
              <w:rPr>
                <w:szCs w:val="20"/>
              </w:rPr>
              <w:t>(PI), University of Wisconsi</w:t>
            </w:r>
            <w:r>
              <w:rPr>
                <w:szCs w:val="20"/>
              </w:rPr>
              <w:t xml:space="preserve">n-Milwaukee College of </w:t>
            </w:r>
          </w:p>
          <w:p w:rsidR="00861B12" w:rsidRPr="000B5AD8" w:rsidRDefault="00861B12" w:rsidP="00A121CB">
            <w:pPr>
              <w:rPr>
                <w:szCs w:val="20"/>
              </w:rPr>
            </w:pPr>
            <w:r>
              <w:rPr>
                <w:szCs w:val="20"/>
              </w:rPr>
              <w:t xml:space="preserve">Nursing. The study was </w:t>
            </w:r>
            <w:r w:rsidRPr="00174523">
              <w:rPr>
                <w:szCs w:val="20"/>
              </w:rPr>
              <w:t xml:space="preserve">entitled “An In-Depth </w:t>
            </w:r>
            <w:r w:rsidR="009B43CD" w:rsidRPr="00174523">
              <w:rPr>
                <w:szCs w:val="20"/>
              </w:rPr>
              <w:t>Longitudinal</w:t>
            </w:r>
            <w:r w:rsidRPr="00174523">
              <w:rPr>
                <w:szCs w:val="20"/>
              </w:rPr>
              <w:t xml:space="preserve"> Study of HIV-Infected Women” (2000-2004) National Institutes of Health, National Institute of </w:t>
            </w:r>
            <w:r w:rsidR="00A121CB">
              <w:rPr>
                <w:szCs w:val="20"/>
              </w:rPr>
              <w:t xml:space="preserve"> </w:t>
            </w:r>
            <w:r w:rsidRPr="00174523">
              <w:rPr>
                <w:szCs w:val="20"/>
              </w:rPr>
              <w:t>Nur</w:t>
            </w:r>
            <w:r>
              <w:rPr>
                <w:szCs w:val="20"/>
              </w:rPr>
              <w:t xml:space="preserve">sing Research.   </w:t>
            </w:r>
            <w:r w:rsidRPr="00174523">
              <w:rPr>
                <w:szCs w:val="20"/>
              </w:rPr>
              <w:t xml:space="preserve">As a member of this team, </w:t>
            </w:r>
            <w:r>
              <w:rPr>
                <w:szCs w:val="20"/>
              </w:rPr>
              <w:t xml:space="preserve">Mrs. Austin analyzed </w:t>
            </w:r>
            <w:r w:rsidRPr="00174523">
              <w:rPr>
                <w:szCs w:val="20"/>
              </w:rPr>
              <w:t xml:space="preserve">participant narratives related to drug and alcohol patterns of use, history, and recovery. </w:t>
            </w:r>
          </w:p>
        </w:tc>
        <w:tc>
          <w:tcPr>
            <w:tcW w:w="1799" w:type="pct"/>
            <w:tcBorders>
              <w:right w:val="single" w:sz="4" w:space="0" w:color="auto"/>
            </w:tcBorders>
          </w:tcPr>
          <w:p w:rsidR="00861B12" w:rsidRDefault="00861B12" w:rsidP="009B4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0"/>
              </w:rPr>
            </w:pPr>
            <w:r w:rsidRPr="00FC3DE4">
              <w:rPr>
                <w:szCs w:val="20"/>
              </w:rPr>
              <w:t xml:space="preserve">Poster Presentation of Dissertation Research Proposal: How do HIV-infected women who have a serious mental illness describe their health care experiences. Emerging Issues in Nursing Leadership, Scholarship, and </w:t>
            </w:r>
            <w:r w:rsidR="009B43CD">
              <w:rPr>
                <w:szCs w:val="20"/>
              </w:rPr>
              <w:t>P</w:t>
            </w:r>
            <w:r w:rsidRPr="00FC3DE4">
              <w:rPr>
                <w:szCs w:val="20"/>
              </w:rPr>
              <w:t>ractice: Sigma Theta Tau</w:t>
            </w:r>
            <w:r w:rsidR="00B91F6F">
              <w:rPr>
                <w:szCs w:val="20"/>
              </w:rPr>
              <w:t>.</w:t>
            </w:r>
          </w:p>
          <w:p w:rsidR="00861B12" w:rsidRDefault="00861B12" w:rsidP="00E0308A">
            <w:pPr>
              <w:rPr>
                <w:szCs w:val="20"/>
              </w:rPr>
            </w:pPr>
          </w:p>
          <w:p w:rsidR="00861B12" w:rsidRDefault="00861B12" w:rsidP="00E03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c>
      </w:tr>
      <w:tr w:rsidR="00861B12" w:rsidTr="00740815">
        <w:trPr>
          <w:trHeight w:val="2330"/>
        </w:trPr>
        <w:tc>
          <w:tcPr>
            <w:tcW w:w="1304" w:type="pct"/>
          </w:tcPr>
          <w:p w:rsidR="00861B12" w:rsidRDefault="00861B12" w:rsidP="00FC3DE4">
            <w:pPr>
              <w:jc w:val="center"/>
            </w:pPr>
            <w:r>
              <w:t>Dr. Lynn Aquadro</w:t>
            </w:r>
          </w:p>
        </w:tc>
        <w:tc>
          <w:tcPr>
            <w:tcW w:w="1897" w:type="pct"/>
            <w:tcBorders>
              <w:right w:val="single" w:sz="4" w:space="0" w:color="auto"/>
            </w:tcBorders>
          </w:tcPr>
          <w:p w:rsidR="00A121CB" w:rsidRDefault="00861B12" w:rsidP="00E0308A">
            <w:pPr>
              <w:widowControl w:val="0"/>
              <w:snapToGrid w:val="0"/>
              <w:rPr>
                <w:szCs w:val="20"/>
              </w:rPr>
            </w:pPr>
            <w:r w:rsidRPr="00EF5AD9">
              <w:rPr>
                <w:szCs w:val="20"/>
              </w:rPr>
              <w:t xml:space="preserve">Appalachian Regional Commission Grant – </w:t>
            </w:r>
            <w:r w:rsidRPr="00EF5AD9">
              <w:rPr>
                <w:b/>
                <w:szCs w:val="20"/>
              </w:rPr>
              <w:t>Funded</w:t>
            </w:r>
            <w:r w:rsidRPr="00EF5AD9">
              <w:rPr>
                <w:szCs w:val="20"/>
              </w:rPr>
              <w:t xml:space="preserve"> ($156,900.00), </w:t>
            </w:r>
          </w:p>
          <w:p w:rsidR="00861B12" w:rsidRDefault="00861B12" w:rsidP="00E0308A">
            <w:pPr>
              <w:widowControl w:val="0"/>
              <w:snapToGrid w:val="0"/>
              <w:rPr>
                <w:szCs w:val="20"/>
              </w:rPr>
            </w:pPr>
            <w:r w:rsidRPr="00EF5AD9">
              <w:rPr>
                <w:szCs w:val="20"/>
              </w:rPr>
              <w:t>2005-2006</w:t>
            </w:r>
          </w:p>
          <w:p w:rsidR="00861B12" w:rsidRPr="00EF5AD9" w:rsidRDefault="00861B12" w:rsidP="00EF5AD9">
            <w:pPr>
              <w:widowControl w:val="0"/>
              <w:snapToGrid w:val="0"/>
              <w:rPr>
                <w:rFonts w:ascii="Century-WP" w:hAnsi="Century-WP"/>
                <w:sz w:val="16"/>
                <w:szCs w:val="16"/>
              </w:rPr>
            </w:pPr>
          </w:p>
          <w:p w:rsidR="00861B12" w:rsidRDefault="00B91F6F" w:rsidP="000B5AD8">
            <w:pPr>
              <w:widowControl w:val="0"/>
              <w:snapToGrid w:val="0"/>
            </w:pPr>
            <w:r>
              <w:rPr>
                <w:szCs w:val="20"/>
              </w:rPr>
              <w:t xml:space="preserve">Dissertation: </w:t>
            </w:r>
            <w:r w:rsidR="00861B12" w:rsidRPr="00EF5AD9">
              <w:rPr>
                <w:szCs w:val="20"/>
              </w:rPr>
              <w:t xml:space="preserve">Factors that Affect Diagnosis &amp; Treatment of Metabolic Syndrome </w:t>
            </w:r>
            <w:r>
              <w:rPr>
                <w:szCs w:val="20"/>
              </w:rPr>
              <w:t xml:space="preserve"> (2005)</w:t>
            </w:r>
          </w:p>
        </w:tc>
        <w:tc>
          <w:tcPr>
            <w:tcW w:w="1799" w:type="pct"/>
            <w:tcBorders>
              <w:right w:val="single" w:sz="4" w:space="0" w:color="auto"/>
            </w:tcBorders>
          </w:tcPr>
          <w:p w:rsidR="00861B12" w:rsidRDefault="00861B12" w:rsidP="00E0308A">
            <w:pPr>
              <w:widowControl w:val="0"/>
              <w:suppressAutoHyphens/>
              <w:snapToGrid w:val="0"/>
              <w:rPr>
                <w:rFonts w:ascii="Calisto MT" w:hAnsi="Calisto MT"/>
              </w:rPr>
            </w:pPr>
            <w:r w:rsidRPr="00EF5AD9">
              <w:rPr>
                <w:b/>
              </w:rPr>
              <w:t xml:space="preserve">National </w:t>
            </w:r>
            <w:r w:rsidRPr="00EF5AD9">
              <w:t>Conference for Nurse Practitioners – Poster</w:t>
            </w:r>
            <w:r>
              <w:rPr>
                <w:rFonts w:ascii="Calisto MT" w:hAnsi="Calisto MT"/>
              </w:rPr>
              <w:t xml:space="preserve"> </w:t>
            </w:r>
          </w:p>
          <w:p w:rsidR="00861B12" w:rsidRPr="00EF5AD9" w:rsidRDefault="00861B12" w:rsidP="00E0308A">
            <w:pPr>
              <w:widowControl w:val="0"/>
              <w:suppressAutoHyphens/>
              <w:snapToGrid w:val="0"/>
              <w:rPr>
                <w:rFonts w:ascii="Calisto MT" w:hAnsi="Calisto MT"/>
              </w:rPr>
            </w:pPr>
            <w:r w:rsidRPr="00EF5AD9">
              <w:rPr>
                <w:rFonts w:ascii="Calisto MT" w:hAnsi="Calisto MT"/>
              </w:rPr>
              <w:t>presentation</w:t>
            </w:r>
            <w:r>
              <w:rPr>
                <w:rFonts w:ascii="Calisto MT" w:hAnsi="Calisto MT"/>
              </w:rPr>
              <w:t>.</w:t>
            </w:r>
            <w:r w:rsidRPr="00EF5AD9">
              <w:rPr>
                <w:rFonts w:ascii="Calisto MT" w:hAnsi="Calisto MT"/>
              </w:rPr>
              <w:t xml:space="preserve">  2007</w:t>
            </w:r>
          </w:p>
          <w:p w:rsidR="00861B12" w:rsidRDefault="00861B12" w:rsidP="00E0308A">
            <w:pPr>
              <w:widowControl w:val="0"/>
              <w:snapToGrid w:val="0"/>
              <w:rPr>
                <w:szCs w:val="20"/>
              </w:rPr>
            </w:pPr>
          </w:p>
          <w:p w:rsidR="00861B12" w:rsidRPr="002A7115" w:rsidRDefault="00861B12" w:rsidP="00FF5815">
            <w:pPr>
              <w:suppressAutoHyphens/>
            </w:pPr>
            <w:r w:rsidRPr="002A7115">
              <w:rPr>
                <w:b/>
              </w:rPr>
              <w:t>National</w:t>
            </w:r>
            <w:r w:rsidRPr="002A7115">
              <w:t xml:space="preserve"> Speaker: Creative Teaching for Nurse Educators                             Spring 2007</w:t>
            </w:r>
          </w:p>
        </w:tc>
      </w:tr>
      <w:tr w:rsidR="00861B12" w:rsidTr="00740815">
        <w:trPr>
          <w:trHeight w:val="710"/>
        </w:trPr>
        <w:tc>
          <w:tcPr>
            <w:tcW w:w="1304" w:type="pct"/>
            <w:tcBorders>
              <w:bottom w:val="single" w:sz="4" w:space="0" w:color="auto"/>
            </w:tcBorders>
          </w:tcPr>
          <w:p w:rsidR="00861B12" w:rsidRDefault="00861B12" w:rsidP="00875BED">
            <w:r>
              <w:t>Dr. Wanda Bradford</w:t>
            </w:r>
          </w:p>
          <w:p w:rsidR="00394FB4" w:rsidRDefault="00394FB4" w:rsidP="00875BED"/>
          <w:p w:rsidR="00394FB4" w:rsidRDefault="00394FB4" w:rsidP="00875BED"/>
          <w:p w:rsidR="00394FB4" w:rsidRDefault="00394FB4" w:rsidP="00875BED"/>
          <w:p w:rsidR="00394FB4" w:rsidRDefault="00394FB4" w:rsidP="00875BED"/>
          <w:p w:rsidR="00394FB4" w:rsidRDefault="00394FB4" w:rsidP="00875BED"/>
          <w:p w:rsidR="00394FB4" w:rsidRDefault="00394FB4" w:rsidP="00875BED"/>
          <w:p w:rsidR="00394FB4" w:rsidRDefault="00394FB4" w:rsidP="00875BED"/>
          <w:p w:rsidR="00394FB4" w:rsidRDefault="00394FB4" w:rsidP="00875BED"/>
          <w:p w:rsidR="00394FB4" w:rsidRDefault="00394FB4" w:rsidP="00875BED"/>
          <w:p w:rsidR="00394FB4" w:rsidRPr="00394FB4" w:rsidRDefault="00394FB4" w:rsidP="00875BED">
            <w:pPr>
              <w:rPr>
                <w:b/>
              </w:rPr>
            </w:pPr>
          </w:p>
        </w:tc>
        <w:tc>
          <w:tcPr>
            <w:tcW w:w="1897" w:type="pct"/>
            <w:tcBorders>
              <w:bottom w:val="single" w:sz="4" w:space="0" w:color="auto"/>
              <w:right w:val="single" w:sz="4" w:space="0" w:color="auto"/>
            </w:tcBorders>
          </w:tcPr>
          <w:p w:rsidR="00945FE1" w:rsidRDefault="00945FE1" w:rsidP="00FF5815">
            <w:r w:rsidRPr="009B638D">
              <w:t>“Utilizi</w:t>
            </w:r>
            <w:r>
              <w:t xml:space="preserve">ng Technology to Retain </w:t>
            </w:r>
            <w:r w:rsidRPr="009B638D">
              <w:t>Nursing</w:t>
            </w:r>
            <w:r>
              <w:t xml:space="preserve"> </w:t>
            </w:r>
            <w:r w:rsidRPr="009B638D">
              <w:t xml:space="preserve">Faculty at the University of North Alabama.”  The </w:t>
            </w:r>
            <w:r>
              <w:t xml:space="preserve">primary purpose of this project </w:t>
            </w:r>
            <w:r w:rsidRPr="009B638D">
              <w:t>was to alleviate</w:t>
            </w:r>
            <w:r>
              <w:t xml:space="preserve"> </w:t>
            </w:r>
            <w:r w:rsidRPr="009B638D">
              <w:t>the shortage of nursing faculty at</w:t>
            </w:r>
            <w:r>
              <w:t xml:space="preserve"> UNA </w:t>
            </w:r>
            <w:r w:rsidRPr="009B638D">
              <w:t>by increasing the pool of available faculty who are prepared to teach online</w:t>
            </w:r>
            <w:smartTag w:uri="urn:schemas-microsoft-com:office:smarttags" w:element="PersonName">
              <w:r w:rsidRPr="009B638D">
                <w:t>.</w:t>
              </w:r>
            </w:smartTag>
            <w:r w:rsidRPr="009B638D">
              <w:t xml:space="preserve">   A secondary purpose was to entice senior faculty to post-pone retirement to teach completely online; or to teach online as adjunct faculty during post-retirement.</w:t>
            </w:r>
          </w:p>
          <w:p w:rsidR="004B7803" w:rsidRDefault="004B7803" w:rsidP="00740815"/>
          <w:p w:rsidR="00740815" w:rsidRDefault="00740815" w:rsidP="00740815"/>
          <w:p w:rsidR="0029356D" w:rsidRDefault="0029356D" w:rsidP="00740815"/>
          <w:p w:rsidR="0029356D" w:rsidRPr="00A121CB" w:rsidRDefault="0029356D" w:rsidP="00740815"/>
        </w:tc>
        <w:tc>
          <w:tcPr>
            <w:tcW w:w="1799" w:type="pct"/>
            <w:tcBorders>
              <w:bottom w:val="single" w:sz="4" w:space="0" w:color="auto"/>
              <w:right w:val="single" w:sz="4" w:space="0" w:color="auto"/>
            </w:tcBorders>
          </w:tcPr>
          <w:p w:rsidR="00945FE1" w:rsidRDefault="002A7115" w:rsidP="002A7115">
            <w:r>
              <w:t xml:space="preserve">Presented </w:t>
            </w:r>
            <w:r w:rsidR="00FF5815" w:rsidRPr="009B638D">
              <w:t>“Utilizing Technology to Retain Nursing Faculty”</w:t>
            </w:r>
            <w:smartTag w:uri="urn:schemas-microsoft-com:office:smarttags" w:element="PersonName">
              <w:r w:rsidR="00FF5815" w:rsidRPr="009B638D">
                <w:t>.</w:t>
              </w:r>
            </w:smartTag>
            <w:r w:rsidR="00FF5815" w:rsidRPr="009B638D">
              <w:t xml:space="preserve">  </w:t>
            </w:r>
            <w:r>
              <w:t>Rush University, School of Nursing. Chicago, IL. 2005.</w:t>
            </w:r>
          </w:p>
        </w:tc>
      </w:tr>
      <w:tr w:rsidR="00875BED" w:rsidTr="00740815">
        <w:trPr>
          <w:trHeight w:val="422"/>
        </w:trPr>
        <w:tc>
          <w:tcPr>
            <w:tcW w:w="1304" w:type="pct"/>
            <w:tcBorders>
              <w:top w:val="single" w:sz="4" w:space="0" w:color="auto"/>
              <w:bottom w:val="single" w:sz="4" w:space="0" w:color="auto"/>
            </w:tcBorders>
            <w:vAlign w:val="center"/>
          </w:tcPr>
          <w:p w:rsidR="00875BED" w:rsidRDefault="00875BED" w:rsidP="002C573D">
            <w:pPr>
              <w:jc w:val="center"/>
            </w:pPr>
            <w:r>
              <w:rPr>
                <w:b/>
              </w:rPr>
              <w:lastRenderedPageBreak/>
              <w:t>Faculty Member</w:t>
            </w:r>
          </w:p>
        </w:tc>
        <w:tc>
          <w:tcPr>
            <w:tcW w:w="1897" w:type="pct"/>
            <w:tcBorders>
              <w:top w:val="single" w:sz="4" w:space="0" w:color="auto"/>
              <w:bottom w:val="single" w:sz="4" w:space="0" w:color="auto"/>
              <w:right w:val="single" w:sz="4" w:space="0" w:color="auto"/>
            </w:tcBorders>
            <w:vAlign w:val="center"/>
          </w:tcPr>
          <w:p w:rsidR="00875BED" w:rsidRPr="009B638D" w:rsidRDefault="00875BED" w:rsidP="002C573D">
            <w:pPr>
              <w:jc w:val="center"/>
            </w:pPr>
            <w:r>
              <w:rPr>
                <w:b/>
              </w:rPr>
              <w:t>Research Activities/Grants</w:t>
            </w:r>
          </w:p>
        </w:tc>
        <w:tc>
          <w:tcPr>
            <w:tcW w:w="1799" w:type="pct"/>
            <w:tcBorders>
              <w:top w:val="single" w:sz="4" w:space="0" w:color="auto"/>
              <w:bottom w:val="single" w:sz="4" w:space="0" w:color="auto"/>
              <w:right w:val="single" w:sz="4" w:space="0" w:color="auto"/>
            </w:tcBorders>
            <w:vAlign w:val="center"/>
          </w:tcPr>
          <w:p w:rsidR="00875BED" w:rsidRPr="00416A21" w:rsidRDefault="00875BED" w:rsidP="002C573D">
            <w:pPr>
              <w:jc w:val="center"/>
            </w:pPr>
            <w:r>
              <w:rPr>
                <w:b/>
              </w:rPr>
              <w:t>Presentations/Publications</w:t>
            </w:r>
          </w:p>
        </w:tc>
      </w:tr>
      <w:tr w:rsidR="00394FB4" w:rsidTr="00740815">
        <w:trPr>
          <w:trHeight w:val="8220"/>
        </w:trPr>
        <w:tc>
          <w:tcPr>
            <w:tcW w:w="1304" w:type="pct"/>
            <w:tcBorders>
              <w:top w:val="single" w:sz="4" w:space="0" w:color="auto"/>
              <w:bottom w:val="single" w:sz="4" w:space="0" w:color="auto"/>
            </w:tcBorders>
          </w:tcPr>
          <w:p w:rsidR="00394FB4" w:rsidRDefault="00394FB4" w:rsidP="00FC3DE4">
            <w:pPr>
              <w:jc w:val="center"/>
            </w:pPr>
          </w:p>
          <w:p w:rsidR="00394FB4" w:rsidRDefault="00394FB4" w:rsidP="00FC3DE4">
            <w:pPr>
              <w:jc w:val="center"/>
            </w:pPr>
            <w:r>
              <w:t>Dr. Wanda Bradford (continued)</w:t>
            </w:r>
          </w:p>
        </w:tc>
        <w:tc>
          <w:tcPr>
            <w:tcW w:w="1897" w:type="pct"/>
            <w:tcBorders>
              <w:top w:val="single" w:sz="4" w:space="0" w:color="auto"/>
              <w:bottom w:val="single" w:sz="4" w:space="0" w:color="auto"/>
              <w:right w:val="single" w:sz="4" w:space="0" w:color="auto"/>
            </w:tcBorders>
          </w:tcPr>
          <w:p w:rsidR="00394FB4" w:rsidRDefault="00A121CB" w:rsidP="00980703">
            <w:r>
              <w:rPr>
                <w:szCs w:val="22"/>
              </w:rPr>
              <w:t xml:space="preserve">Assisted in </w:t>
            </w:r>
            <w:r w:rsidRPr="00E73EA3">
              <w:rPr>
                <w:szCs w:val="22"/>
              </w:rPr>
              <w:t xml:space="preserve">the development of a </w:t>
            </w:r>
            <w:r>
              <w:rPr>
                <w:szCs w:val="22"/>
              </w:rPr>
              <w:t xml:space="preserve">survey tool to </w:t>
            </w:r>
            <w:r w:rsidRPr="00E73EA3">
              <w:rPr>
                <w:szCs w:val="22"/>
              </w:rPr>
              <w:t xml:space="preserve">examine attitudes, motivational factors and </w:t>
            </w:r>
            <w:r>
              <w:rPr>
                <w:szCs w:val="22"/>
              </w:rPr>
              <w:t xml:space="preserve">obstacles that may impact </w:t>
            </w:r>
            <w:r w:rsidRPr="00E73EA3">
              <w:rPr>
                <w:szCs w:val="22"/>
              </w:rPr>
              <w:t>nursing graduates decision to further their education.</w:t>
            </w:r>
          </w:p>
          <w:p w:rsidR="00394FB4" w:rsidRDefault="00394FB4" w:rsidP="00980703"/>
          <w:p w:rsidR="0027580B" w:rsidRPr="0027580B" w:rsidRDefault="0027580B" w:rsidP="0027580B">
            <w:pPr>
              <w:widowControl w:val="0"/>
              <w:suppressAutoHyphens/>
              <w:spacing w:line="276" w:lineRule="auto"/>
              <w:rPr>
                <w:snapToGrid w:val="0"/>
              </w:rPr>
            </w:pPr>
            <w:r w:rsidRPr="0027580B">
              <w:rPr>
                <w:snapToGrid w:val="0"/>
                <w:szCs w:val="22"/>
              </w:rPr>
              <w:t>Developed and deployed online survey</w:t>
            </w:r>
            <w:r>
              <w:rPr>
                <w:snapToGrid w:val="0"/>
                <w:szCs w:val="22"/>
              </w:rPr>
              <w:t>s</w:t>
            </w:r>
            <w:r w:rsidRPr="0027580B">
              <w:rPr>
                <w:snapToGrid w:val="0"/>
                <w:szCs w:val="22"/>
              </w:rPr>
              <w:t xml:space="preserve"> to determine interest and need for a new </w:t>
            </w:r>
            <w:r>
              <w:rPr>
                <w:snapToGrid w:val="0"/>
                <w:szCs w:val="22"/>
              </w:rPr>
              <w:t xml:space="preserve">proposed </w:t>
            </w:r>
            <w:r w:rsidRPr="0027580B">
              <w:rPr>
                <w:snapToGrid w:val="0"/>
                <w:szCs w:val="22"/>
              </w:rPr>
              <w:t>nursing program, the RN to MSN online program.</w:t>
            </w:r>
            <w:r>
              <w:rPr>
                <w:snapToGrid w:val="0"/>
                <w:szCs w:val="22"/>
              </w:rPr>
              <w:t xml:space="preserve">  Developed program proposal which was approved and implemented in 2009.</w:t>
            </w:r>
          </w:p>
          <w:p w:rsidR="0027580B" w:rsidRPr="009B638D" w:rsidRDefault="0027580B" w:rsidP="00980703"/>
        </w:tc>
        <w:tc>
          <w:tcPr>
            <w:tcW w:w="1799" w:type="pct"/>
            <w:tcBorders>
              <w:top w:val="single" w:sz="4" w:space="0" w:color="auto"/>
              <w:bottom w:val="single" w:sz="4" w:space="0" w:color="auto"/>
              <w:right w:val="single" w:sz="4" w:space="0" w:color="auto"/>
            </w:tcBorders>
          </w:tcPr>
          <w:p w:rsidR="00FF5815" w:rsidRDefault="002A7115" w:rsidP="00FF5815">
            <w:r>
              <w:rPr>
                <w:sz w:val="22"/>
                <w:szCs w:val="22"/>
              </w:rPr>
              <w:t>Leonard, T. and Bradford, W</w:t>
            </w:r>
            <w:r w:rsidR="00FF5815" w:rsidRPr="00416A21">
              <w:rPr>
                <w:sz w:val="22"/>
                <w:szCs w:val="22"/>
              </w:rPr>
              <w:t xml:space="preserve">.  </w:t>
            </w:r>
            <w:r w:rsidR="00FF5815">
              <w:rPr>
                <w:sz w:val="22"/>
                <w:szCs w:val="22"/>
              </w:rPr>
              <w:t xml:space="preserve">“RN to BSN? Yes, You Can!”   </w:t>
            </w:r>
            <w:r w:rsidR="00FF5815" w:rsidRPr="00875BED">
              <w:rPr>
                <w:i/>
                <w:sz w:val="22"/>
                <w:szCs w:val="22"/>
              </w:rPr>
              <w:t>Imprint.</w:t>
            </w:r>
            <w:r w:rsidR="00FF5815" w:rsidRPr="00416A21">
              <w:rPr>
                <w:sz w:val="22"/>
                <w:szCs w:val="22"/>
              </w:rPr>
              <w:t xml:space="preserve">  National  Student Nurses Association,  Brooklyn, N.Y.   </w:t>
            </w:r>
            <w:r w:rsidR="00FF5815">
              <w:rPr>
                <w:sz w:val="22"/>
                <w:szCs w:val="22"/>
              </w:rPr>
              <w:t>January, 2009</w:t>
            </w:r>
            <w:r w:rsidR="00FF5815" w:rsidRPr="00416A21">
              <w:rPr>
                <w:sz w:val="22"/>
                <w:szCs w:val="22"/>
              </w:rPr>
              <w:t>.</w:t>
            </w:r>
            <w:r>
              <w:rPr>
                <w:sz w:val="22"/>
                <w:szCs w:val="22"/>
              </w:rPr>
              <w:t xml:space="preserve"> Publication.</w:t>
            </w:r>
          </w:p>
          <w:p w:rsidR="00FF5815" w:rsidRDefault="00FF5815" w:rsidP="00FF5815"/>
          <w:p w:rsidR="00FF5815" w:rsidRDefault="00FF5815" w:rsidP="00FF5815">
            <w:r w:rsidRPr="00416A21">
              <w:rPr>
                <w:sz w:val="22"/>
                <w:szCs w:val="22"/>
              </w:rPr>
              <w:t>“Moving an On-Campus Classroom Online”.  Distance Learn</w:t>
            </w:r>
            <w:r>
              <w:rPr>
                <w:sz w:val="22"/>
                <w:szCs w:val="22"/>
              </w:rPr>
              <w:t xml:space="preserve">ing Best Practices Conference, </w:t>
            </w:r>
            <w:r w:rsidRPr="00416A21">
              <w:rPr>
                <w:sz w:val="22"/>
                <w:szCs w:val="22"/>
              </w:rPr>
              <w:t>University of North Alabama.</w:t>
            </w:r>
            <w:r>
              <w:rPr>
                <w:sz w:val="22"/>
                <w:szCs w:val="22"/>
              </w:rPr>
              <w:t xml:space="preserve">  (Presenter).</w:t>
            </w:r>
          </w:p>
          <w:p w:rsidR="00FF5815" w:rsidRDefault="00FF5815" w:rsidP="00FF5815"/>
          <w:p w:rsidR="00394FB4" w:rsidRDefault="00FF5815" w:rsidP="00FF5815">
            <w:r w:rsidRPr="009B638D">
              <w:t xml:space="preserve"> </w:t>
            </w:r>
            <w:r w:rsidR="00394FB4" w:rsidRPr="009B638D">
              <w:t xml:space="preserve">“Teaching Old Dawgs New Tricks”.  Creative Teaching for Nursing Educators Workshop, </w:t>
            </w:r>
            <w:smartTag w:uri="urn:schemas-microsoft-com:office:smarttags" w:element="PlaceType">
              <w:r w:rsidR="00394FB4" w:rsidRPr="009B638D">
                <w:t>University</w:t>
              </w:r>
            </w:smartTag>
            <w:r w:rsidR="00394FB4" w:rsidRPr="009B638D">
              <w:t xml:space="preserve"> of </w:t>
            </w:r>
            <w:smartTag w:uri="urn:schemas-microsoft-com:office:smarttags" w:element="PlaceName">
              <w:r w:rsidR="00394FB4" w:rsidRPr="009B638D">
                <w:t>Memphis</w:t>
              </w:r>
            </w:smartTag>
            <w:r w:rsidR="00394FB4" w:rsidRPr="009B638D">
              <w:t xml:space="preserve">, </w:t>
            </w:r>
            <w:smartTag w:uri="urn:schemas-microsoft-com:office:smarttags" w:element="place">
              <w:smartTag w:uri="urn:schemas-microsoft-com:office:smarttags" w:element="City">
                <w:r w:rsidR="00394FB4" w:rsidRPr="009B638D">
                  <w:t>Memphis</w:t>
                </w:r>
              </w:smartTag>
            </w:smartTag>
            <w:r w:rsidR="00394FB4" w:rsidRPr="009B638D">
              <w:t>, TN</w:t>
            </w:r>
            <w:smartTag w:uri="urn:schemas-microsoft-com:office:smarttags" w:element="PersonName">
              <w:r w:rsidR="00394FB4" w:rsidRPr="009B638D">
                <w:t>.</w:t>
              </w:r>
            </w:smartTag>
            <w:r w:rsidR="00394FB4" w:rsidRPr="009B638D">
              <w:t xml:space="preserve"> (Co-Presenter).</w:t>
            </w:r>
          </w:p>
          <w:p w:rsidR="00394FB4" w:rsidRDefault="00394FB4" w:rsidP="00980703"/>
          <w:p w:rsidR="002C573D" w:rsidRPr="00416A21" w:rsidRDefault="00394FB4" w:rsidP="002C573D">
            <w:r w:rsidRPr="009B638D">
              <w:t>“Utilizing Technology to Retain Nursing Faculty”</w:t>
            </w:r>
            <w:smartTag w:uri="urn:schemas-microsoft-com:office:smarttags" w:element="PersonName">
              <w:r w:rsidRPr="009B638D">
                <w:t>.</w:t>
              </w:r>
            </w:smartTag>
            <w:r w:rsidRPr="009B638D">
              <w:t xml:space="preserve">  National Conference on Professional Nursing Education and Development, </w:t>
            </w:r>
            <w:smartTag w:uri="urn:schemas-microsoft-com:office:smarttags" w:element="place">
              <w:smartTag w:uri="urn:schemas-microsoft-com:office:smarttags" w:element="City">
                <w:r w:rsidRPr="009B638D">
                  <w:t>Atlanta</w:t>
                </w:r>
              </w:smartTag>
              <w:r w:rsidRPr="009B638D">
                <w:t xml:space="preserve">, </w:t>
              </w:r>
              <w:smartTag w:uri="urn:schemas-microsoft-com:office:smarttags" w:element="State">
                <w:r w:rsidRPr="009B638D">
                  <w:t>GA</w:t>
                </w:r>
                <w:smartTag w:uri="urn:schemas-microsoft-com:office:smarttags" w:element="PersonName">
                  <w:r w:rsidRPr="009B638D">
                    <w:t>.</w:t>
                  </w:r>
                </w:smartTag>
              </w:smartTag>
            </w:smartTag>
            <w:r w:rsidRPr="009B638D">
              <w:t xml:space="preserve">   Professional Nursing Education Group</w:t>
            </w:r>
            <w:smartTag w:uri="urn:schemas-microsoft-com:office:smarttags" w:element="PersonName">
              <w:r w:rsidRPr="009B638D">
                <w:t>.</w:t>
              </w:r>
            </w:smartTag>
            <w:r w:rsidRPr="009B638D">
              <w:t xml:space="preserve"> Co-sponsors: </w:t>
            </w:r>
            <w:smartTag w:uri="urn:schemas-microsoft-com:office:smarttags" w:element="PlaceName">
              <w:r w:rsidRPr="009B638D">
                <w:t>Rutgers</w:t>
              </w:r>
            </w:smartTag>
            <w:r w:rsidRPr="009B638D">
              <w:t xml:space="preserve"> </w:t>
            </w:r>
            <w:smartTag w:uri="urn:schemas-microsoft-com:office:smarttags" w:element="PlaceType">
              <w:r w:rsidRPr="009B638D">
                <w:t>University</w:t>
              </w:r>
            </w:smartTag>
            <w:r w:rsidRPr="009B638D">
              <w:t xml:space="preserve"> </w:t>
            </w:r>
            <w:smartTag w:uri="urn:schemas-microsoft-com:office:smarttags" w:element="PlaceType">
              <w:r w:rsidRPr="009B638D">
                <w:t>College</w:t>
              </w:r>
            </w:smartTag>
            <w:r w:rsidRPr="009B638D">
              <w:t xml:space="preserve"> of Nursing, </w:t>
            </w:r>
            <w:smartTag w:uri="urn:schemas-microsoft-com:office:smarttags" w:element="PlaceName">
              <w:r w:rsidRPr="009B638D">
                <w:t>Villanova</w:t>
              </w:r>
            </w:smartTag>
            <w:r w:rsidRPr="009B638D">
              <w:t xml:space="preserve"> </w:t>
            </w:r>
            <w:smartTag w:uri="urn:schemas-microsoft-com:office:smarttags" w:element="PlaceType">
              <w:r w:rsidRPr="009B638D">
                <w:t>University</w:t>
              </w:r>
            </w:smartTag>
            <w:r w:rsidRPr="009B638D">
              <w:t xml:space="preserve"> </w:t>
            </w:r>
            <w:smartTag w:uri="urn:schemas-microsoft-com:office:smarttags" w:element="PlaceType">
              <w:r w:rsidRPr="009B638D">
                <w:t>College</w:t>
              </w:r>
            </w:smartTag>
            <w:r w:rsidRPr="009B638D">
              <w:t xml:space="preserve"> of Nursing, </w:t>
            </w:r>
            <w:smartTag w:uri="urn:schemas-microsoft-com:office:smarttags" w:element="PlaceType">
              <w:r w:rsidRPr="009B638D">
                <w:t>University</w:t>
              </w:r>
            </w:smartTag>
            <w:r w:rsidRPr="009B638D">
              <w:t xml:space="preserve"> of </w:t>
            </w:r>
            <w:smartTag w:uri="urn:schemas-microsoft-com:office:smarttags" w:element="PlaceName">
              <w:r w:rsidRPr="009B638D">
                <w:t>Pennsylvania</w:t>
              </w:r>
            </w:smartTag>
            <w:r w:rsidRPr="009B638D">
              <w:t xml:space="preserve"> </w:t>
            </w:r>
            <w:smartTag w:uri="urn:schemas-microsoft-com:office:smarttags" w:element="place">
              <w:smartTag w:uri="urn:schemas-microsoft-com:office:smarttags" w:element="PlaceType">
                <w:r w:rsidRPr="009B638D">
                  <w:t>School</w:t>
                </w:r>
              </w:smartTag>
              <w:r w:rsidRPr="009B638D">
                <w:t xml:space="preserve"> of </w:t>
              </w:r>
              <w:smartTag w:uri="urn:schemas-microsoft-com:office:smarttags" w:element="PlaceName">
                <w:r w:rsidRPr="009B638D">
                  <w:t>Nursing</w:t>
                </w:r>
              </w:smartTag>
            </w:smartTag>
            <w:r w:rsidRPr="009B638D">
              <w:t>.</w:t>
            </w:r>
            <w:r w:rsidR="002C573D" w:rsidRPr="00416A21">
              <w:rPr>
                <w:sz w:val="22"/>
                <w:szCs w:val="22"/>
              </w:rPr>
              <w:t xml:space="preserve"> </w:t>
            </w:r>
            <w:r w:rsidR="002A7115">
              <w:rPr>
                <w:sz w:val="22"/>
                <w:szCs w:val="22"/>
              </w:rPr>
              <w:t>2006. Poster presentation.</w:t>
            </w:r>
          </w:p>
        </w:tc>
      </w:tr>
      <w:tr w:rsidR="002C573D" w:rsidTr="00740815">
        <w:trPr>
          <w:trHeight w:val="260"/>
        </w:trPr>
        <w:tc>
          <w:tcPr>
            <w:tcW w:w="1304" w:type="pct"/>
            <w:tcBorders>
              <w:top w:val="single" w:sz="4" w:space="0" w:color="auto"/>
              <w:bottom w:val="single" w:sz="4" w:space="0" w:color="auto"/>
            </w:tcBorders>
          </w:tcPr>
          <w:p w:rsidR="002C573D" w:rsidRDefault="002C573D" w:rsidP="00D6266B">
            <w:pPr>
              <w:jc w:val="center"/>
            </w:pPr>
            <w:r>
              <w:t>Dr. Teresa Leonard</w:t>
            </w:r>
          </w:p>
        </w:tc>
        <w:tc>
          <w:tcPr>
            <w:tcW w:w="1897" w:type="pct"/>
            <w:tcBorders>
              <w:top w:val="single" w:sz="4" w:space="0" w:color="auto"/>
              <w:bottom w:val="single" w:sz="4" w:space="0" w:color="auto"/>
              <w:right w:val="single" w:sz="4" w:space="0" w:color="auto"/>
            </w:tcBorders>
          </w:tcPr>
          <w:p w:rsidR="00D6266B" w:rsidRPr="009D3980" w:rsidRDefault="00D6266B" w:rsidP="00D6266B">
            <w:pPr>
              <w:pStyle w:val="PlainText"/>
              <w:rPr>
                <w:rFonts w:ascii="Times New Roman" w:hAnsi="Times New Roman"/>
                <w:sz w:val="24"/>
                <w:szCs w:val="24"/>
              </w:rPr>
            </w:pPr>
            <w:r w:rsidRPr="009D3980">
              <w:rPr>
                <w:rFonts w:ascii="Times New Roman" w:hAnsi="Times New Roman"/>
                <w:sz w:val="24"/>
                <w:szCs w:val="24"/>
              </w:rPr>
              <w:t xml:space="preserve">Served on dissertation committee of Dr. Wendy Darby, at </w:t>
            </w:r>
            <w:smartTag w:uri="urn:schemas-microsoft-com:office:smarttags" w:element="PlaceName">
              <w:r w:rsidRPr="009D3980">
                <w:rPr>
                  <w:rFonts w:ascii="Times New Roman" w:hAnsi="Times New Roman"/>
                  <w:sz w:val="24"/>
                  <w:szCs w:val="24"/>
                </w:rPr>
                <w:t>Capella</w:t>
              </w:r>
            </w:smartTag>
            <w:r w:rsidRPr="009D3980">
              <w:rPr>
                <w:rFonts w:ascii="Times New Roman" w:hAnsi="Times New Roman"/>
                <w:sz w:val="24"/>
                <w:szCs w:val="24"/>
              </w:rPr>
              <w:t xml:space="preserve"> </w:t>
            </w:r>
            <w:smartTag w:uri="urn:schemas-microsoft-com:office:smarttags" w:element="PlaceType">
              <w:r w:rsidRPr="009D3980">
                <w:rPr>
                  <w:rFonts w:ascii="Times New Roman" w:hAnsi="Times New Roman"/>
                  <w:sz w:val="24"/>
                  <w:szCs w:val="24"/>
                </w:rPr>
                <w:t>University</w:t>
              </w:r>
            </w:smartTag>
            <w:r w:rsidRPr="009D3980">
              <w:rPr>
                <w:rFonts w:ascii="Times New Roman" w:hAnsi="Times New Roman"/>
                <w:sz w:val="24"/>
                <w:szCs w:val="24"/>
              </w:rPr>
              <w:t xml:space="preserve">, </w:t>
            </w:r>
            <w:smartTag w:uri="urn:schemas-microsoft-com:office:smarttags" w:element="place">
              <w:smartTag w:uri="urn:schemas-microsoft-com:office:smarttags" w:element="City">
                <w:r w:rsidRPr="009D3980">
                  <w:rPr>
                    <w:rFonts w:ascii="Times New Roman" w:hAnsi="Times New Roman"/>
                    <w:sz w:val="24"/>
                    <w:szCs w:val="24"/>
                  </w:rPr>
                  <w:t>Minneapolis</w:t>
                </w:r>
              </w:smartTag>
              <w:r w:rsidRPr="009D3980">
                <w:rPr>
                  <w:rFonts w:ascii="Times New Roman" w:hAnsi="Times New Roman"/>
                  <w:sz w:val="24"/>
                  <w:szCs w:val="24"/>
                </w:rPr>
                <w:t xml:space="preserve">, </w:t>
              </w:r>
              <w:smartTag w:uri="urn:schemas-microsoft-com:office:smarttags" w:element="State">
                <w:r w:rsidRPr="009D3980">
                  <w:rPr>
                    <w:rFonts w:ascii="Times New Roman" w:hAnsi="Times New Roman"/>
                    <w:sz w:val="24"/>
                    <w:szCs w:val="24"/>
                  </w:rPr>
                  <w:t>MN</w:t>
                </w:r>
              </w:smartTag>
            </w:smartTag>
            <w:r w:rsidRPr="009D3980">
              <w:rPr>
                <w:rFonts w:ascii="Times New Roman" w:hAnsi="Times New Roman"/>
                <w:sz w:val="24"/>
                <w:szCs w:val="24"/>
              </w:rPr>
              <w:t xml:space="preserve"> (2005)</w:t>
            </w:r>
          </w:p>
          <w:p w:rsidR="00D6266B" w:rsidRPr="009D3980" w:rsidRDefault="00D6266B" w:rsidP="00D6266B">
            <w:pPr>
              <w:pStyle w:val="PlainText"/>
              <w:rPr>
                <w:rFonts w:ascii="Times New Roman" w:hAnsi="Times New Roman"/>
                <w:sz w:val="24"/>
                <w:szCs w:val="24"/>
              </w:rPr>
            </w:pPr>
          </w:p>
          <w:p w:rsidR="00D6266B" w:rsidRPr="009D3980" w:rsidRDefault="00D6266B" w:rsidP="00D6266B">
            <w:pPr>
              <w:pStyle w:val="PlainText"/>
              <w:rPr>
                <w:rFonts w:ascii="Times New Roman" w:hAnsi="Times New Roman"/>
                <w:sz w:val="24"/>
                <w:szCs w:val="24"/>
              </w:rPr>
            </w:pPr>
            <w:r w:rsidRPr="009D3980">
              <w:rPr>
                <w:rFonts w:ascii="Times New Roman" w:hAnsi="Times New Roman"/>
                <w:sz w:val="24"/>
                <w:szCs w:val="24"/>
              </w:rPr>
              <w:t xml:space="preserve">Edited </w:t>
            </w:r>
            <w:smartTag w:uri="urn:schemas-microsoft-com:office:smarttags" w:element="place">
              <w:smartTag w:uri="urn:schemas-microsoft-com:office:smarttags" w:element="PlaceName">
                <w:r w:rsidRPr="009D3980">
                  <w:rPr>
                    <w:rFonts w:ascii="Times New Roman" w:hAnsi="Times New Roman"/>
                    <w:sz w:val="24"/>
                    <w:szCs w:val="24"/>
                  </w:rPr>
                  <w:t>UNA</w:t>
                </w:r>
              </w:smartTag>
              <w:r w:rsidRPr="009D3980">
                <w:rPr>
                  <w:rFonts w:ascii="Times New Roman" w:hAnsi="Times New Roman"/>
                  <w:sz w:val="24"/>
                  <w:szCs w:val="24"/>
                </w:rPr>
                <w:t xml:space="preserve"> </w:t>
              </w:r>
              <w:smartTag w:uri="urn:schemas-microsoft-com:office:smarttags" w:element="PlaceType">
                <w:r w:rsidRPr="009D3980">
                  <w:rPr>
                    <w:rFonts w:ascii="Times New Roman" w:hAnsi="Times New Roman"/>
                    <w:sz w:val="24"/>
                    <w:szCs w:val="24"/>
                  </w:rPr>
                  <w:t>College</w:t>
                </w:r>
              </w:smartTag>
            </w:smartTag>
            <w:r w:rsidRPr="009D3980">
              <w:rPr>
                <w:rFonts w:ascii="Times New Roman" w:hAnsi="Times New Roman"/>
                <w:sz w:val="24"/>
                <w:szCs w:val="24"/>
              </w:rPr>
              <w:t xml:space="preserve"> of Nursing Self-Study Document for Commission for Collegiate Nursing Education accreditation.</w:t>
            </w:r>
          </w:p>
          <w:p w:rsidR="00D6266B" w:rsidRPr="009D3980" w:rsidRDefault="00D6266B" w:rsidP="00D6266B">
            <w:pPr>
              <w:pStyle w:val="PlainText"/>
              <w:rPr>
                <w:rFonts w:ascii="Times New Roman" w:hAnsi="Times New Roman"/>
                <w:sz w:val="24"/>
                <w:szCs w:val="24"/>
              </w:rPr>
            </w:pPr>
          </w:p>
          <w:p w:rsidR="00D6266B" w:rsidRPr="009D3980" w:rsidRDefault="00D6266B" w:rsidP="00D6266B">
            <w:pPr>
              <w:pStyle w:val="PlainText"/>
              <w:rPr>
                <w:rFonts w:ascii="Times New Roman" w:hAnsi="Times New Roman"/>
                <w:sz w:val="24"/>
                <w:szCs w:val="24"/>
              </w:rPr>
            </w:pPr>
            <w:r w:rsidRPr="009D3980">
              <w:rPr>
                <w:rFonts w:ascii="Times New Roman" w:hAnsi="Times New Roman"/>
                <w:sz w:val="24"/>
                <w:szCs w:val="24"/>
              </w:rPr>
              <w:t xml:space="preserve">Primary author of Master Degree Proposal for the </w:t>
            </w:r>
            <w:smartTag w:uri="urn:schemas-microsoft-com:office:smarttags" w:element="place">
              <w:smartTag w:uri="urn:schemas-microsoft-com:office:smarttags" w:element="PlaceType">
                <w:r w:rsidRPr="009D3980">
                  <w:rPr>
                    <w:rFonts w:ascii="Times New Roman" w:hAnsi="Times New Roman"/>
                    <w:sz w:val="24"/>
                    <w:szCs w:val="24"/>
                  </w:rPr>
                  <w:t>College</w:t>
                </w:r>
              </w:smartTag>
              <w:r w:rsidRPr="009D3980">
                <w:rPr>
                  <w:rFonts w:ascii="Times New Roman" w:hAnsi="Times New Roman"/>
                  <w:sz w:val="24"/>
                  <w:szCs w:val="24"/>
                </w:rPr>
                <w:t xml:space="preserve"> of </w:t>
              </w:r>
              <w:smartTag w:uri="urn:schemas-microsoft-com:office:smarttags" w:element="PlaceName">
                <w:r w:rsidRPr="009D3980">
                  <w:rPr>
                    <w:rFonts w:ascii="Times New Roman" w:hAnsi="Times New Roman"/>
                    <w:sz w:val="24"/>
                    <w:szCs w:val="24"/>
                  </w:rPr>
                  <w:t>Nursing</w:t>
                </w:r>
              </w:smartTag>
            </w:smartTag>
            <w:r w:rsidRPr="009D3980">
              <w:rPr>
                <w:rFonts w:ascii="Times New Roman" w:hAnsi="Times New Roman"/>
                <w:sz w:val="24"/>
                <w:szCs w:val="24"/>
              </w:rPr>
              <w:t xml:space="preserve"> and Allied Health at UNA</w:t>
            </w:r>
          </w:p>
          <w:p w:rsidR="00D6266B" w:rsidRPr="009D3980" w:rsidRDefault="00D6266B" w:rsidP="00D6266B">
            <w:pPr>
              <w:pStyle w:val="PlainText"/>
              <w:rPr>
                <w:rFonts w:ascii="Times New Roman" w:hAnsi="Times New Roman"/>
                <w:sz w:val="24"/>
                <w:szCs w:val="24"/>
              </w:rPr>
            </w:pPr>
            <w:r w:rsidRPr="009D3980">
              <w:rPr>
                <w:rFonts w:ascii="Times New Roman" w:hAnsi="Times New Roman"/>
                <w:sz w:val="24"/>
                <w:szCs w:val="24"/>
              </w:rPr>
              <w:t>(Approved December, 2005)</w:t>
            </w:r>
          </w:p>
          <w:p w:rsidR="002C573D" w:rsidRDefault="002C573D" w:rsidP="00980703"/>
        </w:tc>
        <w:tc>
          <w:tcPr>
            <w:tcW w:w="1799" w:type="pct"/>
            <w:tcBorders>
              <w:top w:val="single" w:sz="4" w:space="0" w:color="auto"/>
              <w:bottom w:val="single" w:sz="4" w:space="0" w:color="auto"/>
              <w:right w:val="single" w:sz="4" w:space="0" w:color="auto"/>
            </w:tcBorders>
          </w:tcPr>
          <w:p w:rsidR="002C573D" w:rsidRPr="000159AD" w:rsidRDefault="002C573D" w:rsidP="002C5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 xml:space="preserve">Leonard, T., &amp; Bradford, W. (2009). RN to BSN? Yes you can! </w:t>
            </w:r>
            <w:r w:rsidRPr="000159AD">
              <w:rPr>
                <w:i/>
                <w:snapToGrid w:val="0"/>
                <w:szCs w:val="20"/>
              </w:rPr>
              <w:t xml:space="preserve">Imprint, </w:t>
            </w:r>
            <w:r w:rsidRPr="000159AD">
              <w:rPr>
                <w:snapToGrid w:val="0"/>
                <w:szCs w:val="20"/>
              </w:rPr>
              <w:t>56(1), 36-40.</w:t>
            </w:r>
            <w:r w:rsidR="002A7115">
              <w:rPr>
                <w:snapToGrid w:val="0"/>
                <w:szCs w:val="20"/>
              </w:rPr>
              <w:t xml:space="preserve"> Publication.</w:t>
            </w:r>
          </w:p>
          <w:p w:rsidR="002C573D" w:rsidRPr="000159AD" w:rsidRDefault="002C573D" w:rsidP="002C57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ab/>
            </w:r>
          </w:p>
          <w:p w:rsidR="002A7115" w:rsidRPr="000159AD" w:rsidRDefault="002C573D" w:rsidP="002A7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 xml:space="preserve">Leonard, T. (2006). Exploring diversity in nursing education: Research findings. </w:t>
            </w:r>
            <w:r w:rsidRPr="000159AD">
              <w:rPr>
                <w:i/>
                <w:snapToGrid w:val="0"/>
                <w:szCs w:val="20"/>
              </w:rPr>
              <w:t>Journal of Cultural Diversity, 13</w:t>
            </w:r>
            <w:r w:rsidRPr="000159AD">
              <w:rPr>
                <w:snapToGrid w:val="0"/>
                <w:szCs w:val="20"/>
              </w:rPr>
              <w:t>(2), 87-96.</w:t>
            </w:r>
            <w:r w:rsidR="002A7115">
              <w:rPr>
                <w:snapToGrid w:val="0"/>
                <w:szCs w:val="20"/>
              </w:rPr>
              <w:t xml:space="preserve">  Publication.</w:t>
            </w:r>
          </w:p>
          <w:p w:rsidR="002A7115" w:rsidRPr="000159AD" w:rsidRDefault="002A7115" w:rsidP="002A7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ab/>
            </w:r>
          </w:p>
          <w:p w:rsidR="002C573D" w:rsidRPr="00A121CB" w:rsidRDefault="002C573D" w:rsidP="00A121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 xml:space="preserve">Leonard, T. (2003). RN to BSN: Advice on returning to school. </w:t>
            </w:r>
            <w:r w:rsidRPr="000159AD">
              <w:rPr>
                <w:i/>
                <w:snapToGrid w:val="0"/>
                <w:szCs w:val="20"/>
              </w:rPr>
              <w:t>AORN Journal, 77</w:t>
            </w:r>
            <w:r w:rsidRPr="000159AD">
              <w:rPr>
                <w:snapToGrid w:val="0"/>
                <w:szCs w:val="20"/>
              </w:rPr>
              <w:t>, 598-608.</w:t>
            </w:r>
            <w:r w:rsidR="002A7115">
              <w:rPr>
                <w:snapToGrid w:val="0"/>
                <w:szCs w:val="20"/>
              </w:rPr>
              <w:t xml:space="preserve">  Publication.</w:t>
            </w:r>
          </w:p>
        </w:tc>
      </w:tr>
      <w:tr w:rsidR="00D6266B" w:rsidTr="00740815">
        <w:trPr>
          <w:trHeight w:val="498"/>
        </w:trPr>
        <w:tc>
          <w:tcPr>
            <w:tcW w:w="1304" w:type="pct"/>
            <w:tcBorders>
              <w:top w:val="single" w:sz="4" w:space="0" w:color="auto"/>
              <w:bottom w:val="single" w:sz="4" w:space="0" w:color="auto"/>
            </w:tcBorders>
            <w:vAlign w:val="center"/>
          </w:tcPr>
          <w:p w:rsidR="00D6266B" w:rsidRPr="00D6266B" w:rsidRDefault="00D6266B" w:rsidP="00D6266B">
            <w:pPr>
              <w:jc w:val="center"/>
              <w:rPr>
                <w:b/>
              </w:rPr>
            </w:pPr>
            <w:r w:rsidRPr="00D6266B">
              <w:rPr>
                <w:b/>
              </w:rPr>
              <w:lastRenderedPageBreak/>
              <w:t>Faculty Member</w:t>
            </w:r>
          </w:p>
        </w:tc>
        <w:tc>
          <w:tcPr>
            <w:tcW w:w="1897" w:type="pct"/>
            <w:tcBorders>
              <w:top w:val="single" w:sz="4" w:space="0" w:color="auto"/>
              <w:bottom w:val="single" w:sz="4" w:space="0" w:color="auto"/>
              <w:right w:val="single" w:sz="4" w:space="0" w:color="auto"/>
            </w:tcBorders>
            <w:vAlign w:val="center"/>
          </w:tcPr>
          <w:p w:rsidR="00D6266B" w:rsidRPr="009B638D" w:rsidRDefault="00D6266B" w:rsidP="00156239">
            <w:pPr>
              <w:jc w:val="center"/>
            </w:pPr>
            <w:r>
              <w:rPr>
                <w:b/>
              </w:rPr>
              <w:t>Research Activities/Grants</w:t>
            </w:r>
          </w:p>
        </w:tc>
        <w:tc>
          <w:tcPr>
            <w:tcW w:w="1799" w:type="pct"/>
            <w:tcBorders>
              <w:top w:val="single" w:sz="4" w:space="0" w:color="auto"/>
              <w:bottom w:val="single" w:sz="4" w:space="0" w:color="auto"/>
              <w:right w:val="single" w:sz="4" w:space="0" w:color="auto"/>
            </w:tcBorders>
            <w:vAlign w:val="center"/>
          </w:tcPr>
          <w:p w:rsidR="00D6266B" w:rsidRPr="00416A21" w:rsidRDefault="00D6266B" w:rsidP="00156239">
            <w:pPr>
              <w:jc w:val="center"/>
            </w:pPr>
            <w:r>
              <w:rPr>
                <w:b/>
              </w:rPr>
              <w:t>Presentations/Publications</w:t>
            </w:r>
          </w:p>
        </w:tc>
      </w:tr>
      <w:tr w:rsidR="00D6266B" w:rsidTr="00740815">
        <w:trPr>
          <w:trHeight w:val="11670"/>
        </w:trPr>
        <w:tc>
          <w:tcPr>
            <w:tcW w:w="1304" w:type="pct"/>
            <w:tcBorders>
              <w:top w:val="single" w:sz="4" w:space="0" w:color="auto"/>
              <w:bottom w:val="single" w:sz="4" w:space="0" w:color="auto"/>
            </w:tcBorders>
          </w:tcPr>
          <w:p w:rsidR="00D6266B" w:rsidRDefault="00D6266B" w:rsidP="00D6266B">
            <w:pPr>
              <w:jc w:val="center"/>
            </w:pPr>
            <w:r>
              <w:t>Dr. Teresa Leonard</w:t>
            </w:r>
          </w:p>
          <w:p w:rsidR="00D6266B" w:rsidRDefault="00D6266B" w:rsidP="00D6266B">
            <w:pPr>
              <w:jc w:val="center"/>
            </w:pPr>
            <w:r>
              <w:t>(continued)</w:t>
            </w:r>
          </w:p>
        </w:tc>
        <w:tc>
          <w:tcPr>
            <w:tcW w:w="1897" w:type="pct"/>
            <w:tcBorders>
              <w:top w:val="single" w:sz="4" w:space="0" w:color="auto"/>
              <w:bottom w:val="single" w:sz="4" w:space="0" w:color="auto"/>
              <w:right w:val="single" w:sz="4" w:space="0" w:color="auto"/>
            </w:tcBorders>
          </w:tcPr>
          <w:p w:rsidR="00D6266B" w:rsidRDefault="00D6266B" w:rsidP="000B5AD8">
            <w:pPr>
              <w:pStyle w:val="PlainText"/>
              <w:rPr>
                <w:szCs w:val="22"/>
              </w:rPr>
            </w:pPr>
            <w:r w:rsidRPr="009D3980">
              <w:rPr>
                <w:rFonts w:ascii="Times New Roman" w:hAnsi="Times New Roman"/>
                <w:sz w:val="24"/>
                <w:szCs w:val="24"/>
              </w:rPr>
              <w:t xml:space="preserve"> Presented</w:t>
            </w:r>
            <w:r>
              <w:rPr>
                <w:rFonts w:ascii="Times New Roman" w:hAnsi="Times New Roman"/>
                <w:sz w:val="24"/>
                <w:szCs w:val="24"/>
              </w:rPr>
              <w:t xml:space="preserve"> MSN</w:t>
            </w:r>
            <w:r w:rsidRPr="009D3980">
              <w:rPr>
                <w:rFonts w:ascii="Times New Roman" w:hAnsi="Times New Roman"/>
                <w:sz w:val="24"/>
                <w:szCs w:val="24"/>
              </w:rPr>
              <w:t xml:space="preserve"> proposal to state Graduate Deans’ Council, </w:t>
            </w:r>
            <w:smartTag w:uri="urn:schemas-microsoft-com:office:smarttags" w:element="place">
              <w:smartTag w:uri="urn:schemas-microsoft-com:office:smarttags" w:element="City">
                <w:r w:rsidRPr="009D3980">
                  <w:rPr>
                    <w:rFonts w:ascii="Times New Roman" w:hAnsi="Times New Roman"/>
                    <w:sz w:val="24"/>
                    <w:szCs w:val="24"/>
                  </w:rPr>
                  <w:t>Birmingham</w:t>
                </w:r>
              </w:smartTag>
              <w:r w:rsidRPr="009D3980">
                <w:rPr>
                  <w:rFonts w:ascii="Times New Roman" w:hAnsi="Times New Roman"/>
                  <w:sz w:val="24"/>
                  <w:szCs w:val="24"/>
                </w:rPr>
                <w:t xml:space="preserve">, </w:t>
              </w:r>
              <w:smartTag w:uri="urn:schemas-microsoft-com:office:smarttags" w:element="State">
                <w:r w:rsidRPr="009D3980">
                  <w:rPr>
                    <w:rFonts w:ascii="Times New Roman" w:hAnsi="Times New Roman"/>
                    <w:sz w:val="24"/>
                    <w:szCs w:val="24"/>
                  </w:rPr>
                  <w:t>AL</w:t>
                </w:r>
              </w:smartTag>
            </w:smartTag>
            <w:r w:rsidRPr="009D3980">
              <w:rPr>
                <w:rFonts w:ascii="Times New Roman" w:hAnsi="Times New Roman"/>
                <w:sz w:val="24"/>
                <w:szCs w:val="24"/>
              </w:rPr>
              <w:t xml:space="preserve"> (2004). </w:t>
            </w:r>
          </w:p>
        </w:tc>
        <w:tc>
          <w:tcPr>
            <w:tcW w:w="1799" w:type="pct"/>
            <w:tcBorders>
              <w:top w:val="single" w:sz="4" w:space="0" w:color="auto"/>
              <w:bottom w:val="single" w:sz="4" w:space="0" w:color="auto"/>
              <w:right w:val="single" w:sz="4" w:space="0" w:color="auto"/>
            </w:tcBorders>
          </w:tcPr>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 xml:space="preserve">“Online Education” (Guest Lecturer)—Present at University of North Alabama Health Care Lectures Course, Florence, AL, November 4, 2009 </w:t>
            </w: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 xml:space="preserve">“Contracting for Grades”—Presented at University of </w:t>
            </w:r>
            <w:r w:rsidR="00404FE7">
              <w:rPr>
                <w:snapToGrid w:val="0"/>
                <w:szCs w:val="20"/>
              </w:rPr>
              <w:t>N</w:t>
            </w:r>
            <w:r w:rsidRPr="000159AD">
              <w:rPr>
                <w:snapToGrid w:val="0"/>
                <w:szCs w:val="20"/>
              </w:rPr>
              <w:t>orth Alabama Distant Learning</w:t>
            </w:r>
            <w:r w:rsidR="00404FE7">
              <w:rPr>
                <w:snapToGrid w:val="0"/>
                <w:szCs w:val="20"/>
              </w:rPr>
              <w:t xml:space="preserve"> </w:t>
            </w:r>
            <w:r w:rsidRPr="000159AD">
              <w:rPr>
                <w:snapToGrid w:val="0"/>
                <w:szCs w:val="20"/>
              </w:rPr>
              <w:t>Conference, Florence, AL, May 9, 2008</w:t>
            </w: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“Objectification of Women” (Guest Lecturer)—Presented at University of North Alabama Women’s Health Course, Florence, AL, April 3, 2008</w:t>
            </w: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Communication Skills for Nurses”—Continuing Education Program Presented at the University of North Alabama, Florence, AL, June 26, 2007</w:t>
            </w: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 xml:space="preserve"> “Cultural Diversity”—Presented at </w:t>
            </w:r>
            <w:smartTag w:uri="urn:schemas-microsoft-com:office:smarttags" w:element="place">
              <w:smartTag w:uri="urn:schemas-microsoft-com:office:smarttags" w:element="PlaceName">
                <w:r w:rsidRPr="000159AD">
                  <w:rPr>
                    <w:snapToGrid w:val="0"/>
                    <w:szCs w:val="20"/>
                  </w:rPr>
                  <w:t>North</w:t>
                </w:r>
              </w:smartTag>
              <w:r w:rsidRPr="000159AD">
                <w:rPr>
                  <w:snapToGrid w:val="0"/>
                  <w:szCs w:val="20"/>
                </w:rPr>
                <w:t xml:space="preserve"> </w:t>
              </w:r>
              <w:smartTag w:uri="urn:schemas-microsoft-com:office:smarttags" w:element="PlaceName">
                <w:r w:rsidRPr="000159AD">
                  <w:rPr>
                    <w:snapToGrid w:val="0"/>
                    <w:szCs w:val="20"/>
                  </w:rPr>
                  <w:t>Mississippi</w:t>
                </w:r>
              </w:smartTag>
              <w:r w:rsidRPr="000159AD">
                <w:rPr>
                  <w:snapToGrid w:val="0"/>
                  <w:szCs w:val="20"/>
                </w:rPr>
                <w:t xml:space="preserve"> </w:t>
              </w:r>
              <w:smartTag w:uri="urn:schemas-microsoft-com:office:smarttags" w:element="PlaceName">
                <w:r w:rsidRPr="000159AD">
                  <w:rPr>
                    <w:snapToGrid w:val="0"/>
                    <w:szCs w:val="20"/>
                  </w:rPr>
                  <w:t>Medical</w:t>
                </w:r>
              </w:smartTag>
              <w:r w:rsidRPr="000159AD">
                <w:rPr>
                  <w:snapToGrid w:val="0"/>
                  <w:szCs w:val="20"/>
                </w:rPr>
                <w:t xml:space="preserve"> </w:t>
              </w:r>
              <w:smartTag w:uri="urn:schemas-microsoft-com:office:smarttags" w:element="PlaceType">
                <w:r w:rsidRPr="000159AD">
                  <w:rPr>
                    <w:snapToGrid w:val="0"/>
                    <w:szCs w:val="20"/>
                  </w:rPr>
                  <w:t>Center</w:t>
                </w:r>
              </w:smartTag>
            </w:smartTag>
            <w:r w:rsidRPr="000159AD">
              <w:rPr>
                <w:snapToGrid w:val="0"/>
                <w:szCs w:val="20"/>
              </w:rPr>
              <w:t xml:space="preserve"> Medical-Surgical Conference, September 15, 2005</w:t>
            </w:r>
          </w:p>
          <w:p w:rsidR="00682235" w:rsidRPr="000159AD" w:rsidRDefault="0068223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p>
          <w:p w:rsidR="00682235" w:rsidRPr="000159AD" w:rsidRDefault="00682235" w:rsidP="00404F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napToGrid w:val="0"/>
                <w:szCs w:val="20"/>
              </w:rPr>
            </w:pPr>
            <w:r w:rsidRPr="000159AD">
              <w:rPr>
                <w:snapToGrid w:val="0"/>
                <w:szCs w:val="20"/>
              </w:rPr>
              <w:t>“Teaching an Old Dog New Tricks: Tips for Online Nursing Education” --Presented at</w:t>
            </w:r>
            <w:r w:rsidR="00404FE7">
              <w:rPr>
                <w:snapToGrid w:val="0"/>
                <w:szCs w:val="20"/>
              </w:rPr>
              <w:t xml:space="preserve"> </w:t>
            </w:r>
            <w:r w:rsidRPr="000159AD">
              <w:rPr>
                <w:snapToGrid w:val="0"/>
                <w:szCs w:val="20"/>
              </w:rPr>
              <w:t>Creative Teaching for Nursing Educators 30</w:t>
            </w:r>
            <w:r w:rsidRPr="000159AD">
              <w:rPr>
                <w:snapToGrid w:val="0"/>
                <w:szCs w:val="20"/>
                <w:vertAlign w:val="superscript"/>
              </w:rPr>
              <w:t>th</w:t>
            </w:r>
            <w:r w:rsidRPr="000159AD">
              <w:rPr>
                <w:snapToGrid w:val="0"/>
                <w:szCs w:val="20"/>
              </w:rPr>
              <w:t xml:space="preserve"> Annual Workshop, </w:t>
            </w:r>
            <w:smartTag w:uri="urn:schemas-microsoft-com:office:smarttags" w:element="place">
              <w:smartTag w:uri="urn:schemas-microsoft-com:office:smarttags" w:element="City">
                <w:r w:rsidRPr="000159AD">
                  <w:rPr>
                    <w:snapToGrid w:val="0"/>
                    <w:szCs w:val="20"/>
                  </w:rPr>
                  <w:t>Memphis</w:t>
                </w:r>
              </w:smartTag>
              <w:r w:rsidRPr="000159AD">
                <w:rPr>
                  <w:snapToGrid w:val="0"/>
                  <w:szCs w:val="20"/>
                </w:rPr>
                <w:t xml:space="preserve">, </w:t>
              </w:r>
              <w:smartTag w:uri="urn:schemas-microsoft-com:office:smarttags" w:element="State">
                <w:r w:rsidRPr="000159AD">
                  <w:rPr>
                    <w:snapToGrid w:val="0"/>
                    <w:szCs w:val="20"/>
                  </w:rPr>
                  <w:t>TN</w:t>
                </w:r>
              </w:smartTag>
            </w:smartTag>
            <w:r w:rsidRPr="000159AD">
              <w:rPr>
                <w:snapToGrid w:val="0"/>
                <w:szCs w:val="20"/>
              </w:rPr>
              <w:t>, March 14, 2005</w:t>
            </w:r>
          </w:p>
          <w:p w:rsidR="00404FE7" w:rsidRDefault="00404FE7"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1941C9" w:rsidRDefault="001941C9"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1941C9" w:rsidRDefault="001941C9"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1941C9" w:rsidRDefault="001941C9"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1941C9" w:rsidRDefault="001941C9"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1941C9" w:rsidRDefault="001941C9"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1941C9" w:rsidRDefault="001941C9" w:rsidP="007408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40815" w:rsidRDefault="00740815" w:rsidP="007408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740815" w:rsidTr="00740815">
        <w:trPr>
          <w:trHeight w:val="182"/>
        </w:trPr>
        <w:tc>
          <w:tcPr>
            <w:tcW w:w="1304" w:type="pct"/>
            <w:tcBorders>
              <w:top w:val="single" w:sz="4" w:space="0" w:color="auto"/>
              <w:bottom w:val="single" w:sz="4" w:space="0" w:color="auto"/>
            </w:tcBorders>
          </w:tcPr>
          <w:p w:rsidR="00740815" w:rsidRDefault="00740815" w:rsidP="00D6266B">
            <w:pPr>
              <w:jc w:val="center"/>
            </w:pPr>
          </w:p>
        </w:tc>
        <w:tc>
          <w:tcPr>
            <w:tcW w:w="1897" w:type="pct"/>
            <w:tcBorders>
              <w:top w:val="single" w:sz="4" w:space="0" w:color="auto"/>
              <w:bottom w:val="single" w:sz="4" w:space="0" w:color="auto"/>
              <w:right w:val="single" w:sz="4" w:space="0" w:color="auto"/>
            </w:tcBorders>
          </w:tcPr>
          <w:p w:rsidR="00740815" w:rsidRPr="009D3980" w:rsidRDefault="00740815" w:rsidP="000B5AD8">
            <w:pPr>
              <w:pStyle w:val="PlainText"/>
              <w:rPr>
                <w:rFonts w:ascii="Times New Roman" w:hAnsi="Times New Roman"/>
                <w:sz w:val="24"/>
                <w:szCs w:val="24"/>
              </w:rPr>
            </w:pPr>
          </w:p>
        </w:tc>
        <w:tc>
          <w:tcPr>
            <w:tcW w:w="1799" w:type="pct"/>
            <w:tcBorders>
              <w:top w:val="single" w:sz="4" w:space="0" w:color="auto"/>
              <w:bottom w:val="single" w:sz="4" w:space="0" w:color="auto"/>
              <w:right w:val="single" w:sz="4" w:space="0" w:color="auto"/>
            </w:tcBorders>
          </w:tcPr>
          <w:p w:rsidR="00740815" w:rsidRPr="000159AD" w:rsidRDefault="00740815" w:rsidP="006822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napToGrid w:val="0"/>
                <w:szCs w:val="20"/>
              </w:rPr>
            </w:pPr>
          </w:p>
        </w:tc>
      </w:tr>
      <w:tr w:rsidR="00D6266B" w:rsidTr="00740815">
        <w:trPr>
          <w:trHeight w:val="440"/>
        </w:trPr>
        <w:tc>
          <w:tcPr>
            <w:tcW w:w="1304" w:type="pct"/>
            <w:tcBorders>
              <w:top w:val="single" w:sz="4" w:space="0" w:color="auto"/>
              <w:bottom w:val="single" w:sz="4" w:space="0" w:color="auto"/>
            </w:tcBorders>
            <w:vAlign w:val="bottom"/>
          </w:tcPr>
          <w:p w:rsidR="00D6266B" w:rsidRPr="002C573D" w:rsidRDefault="00D6266B" w:rsidP="00CE2603">
            <w:pPr>
              <w:jc w:val="center"/>
              <w:rPr>
                <w:b/>
              </w:rPr>
            </w:pPr>
            <w:r w:rsidRPr="002C573D">
              <w:rPr>
                <w:b/>
              </w:rPr>
              <w:lastRenderedPageBreak/>
              <w:t>Faculty Member</w:t>
            </w:r>
          </w:p>
        </w:tc>
        <w:tc>
          <w:tcPr>
            <w:tcW w:w="1897" w:type="pct"/>
            <w:tcBorders>
              <w:top w:val="single" w:sz="4" w:space="0" w:color="auto"/>
              <w:bottom w:val="single" w:sz="4" w:space="0" w:color="auto"/>
              <w:right w:val="single" w:sz="4" w:space="0" w:color="auto"/>
            </w:tcBorders>
            <w:vAlign w:val="bottom"/>
          </w:tcPr>
          <w:p w:rsidR="00D6266B" w:rsidRPr="009B638D" w:rsidRDefault="00D6266B" w:rsidP="00CE2603">
            <w:pPr>
              <w:jc w:val="center"/>
            </w:pPr>
            <w:r>
              <w:rPr>
                <w:b/>
              </w:rPr>
              <w:t>Research Activities/Grants</w:t>
            </w:r>
          </w:p>
        </w:tc>
        <w:tc>
          <w:tcPr>
            <w:tcW w:w="1799" w:type="pct"/>
            <w:tcBorders>
              <w:top w:val="single" w:sz="4" w:space="0" w:color="auto"/>
              <w:bottom w:val="single" w:sz="4" w:space="0" w:color="auto"/>
              <w:right w:val="single" w:sz="4" w:space="0" w:color="auto"/>
            </w:tcBorders>
            <w:vAlign w:val="bottom"/>
          </w:tcPr>
          <w:p w:rsidR="00D6266B" w:rsidRPr="00CE2603" w:rsidRDefault="00D6266B" w:rsidP="00CE2603">
            <w:pPr>
              <w:jc w:val="center"/>
            </w:pPr>
            <w:r>
              <w:rPr>
                <w:b/>
              </w:rPr>
              <w:t>Presentations/Publications</w:t>
            </w:r>
          </w:p>
        </w:tc>
      </w:tr>
      <w:tr w:rsidR="00D6266B" w:rsidTr="00740815">
        <w:tc>
          <w:tcPr>
            <w:tcW w:w="1304" w:type="pct"/>
            <w:tcBorders>
              <w:top w:val="single" w:sz="4" w:space="0" w:color="auto"/>
              <w:bottom w:val="single" w:sz="4" w:space="0" w:color="auto"/>
            </w:tcBorders>
          </w:tcPr>
          <w:p w:rsidR="00D6266B" w:rsidRDefault="00682235" w:rsidP="00682235">
            <w:r>
              <w:t>Mrs. Charlotte Cramer</w:t>
            </w:r>
          </w:p>
        </w:tc>
        <w:tc>
          <w:tcPr>
            <w:tcW w:w="1897" w:type="pct"/>
            <w:tcBorders>
              <w:top w:val="single" w:sz="4" w:space="0" w:color="auto"/>
              <w:right w:val="single" w:sz="4" w:space="0" w:color="auto"/>
            </w:tcBorders>
          </w:tcPr>
          <w:p w:rsidR="00D6266B" w:rsidRDefault="00D6266B" w:rsidP="00980703"/>
        </w:tc>
        <w:tc>
          <w:tcPr>
            <w:tcW w:w="1799" w:type="pct"/>
            <w:tcBorders>
              <w:top w:val="single" w:sz="4" w:space="0" w:color="auto"/>
              <w:right w:val="single" w:sz="4" w:space="0" w:color="auto"/>
            </w:tcBorders>
          </w:tcPr>
          <w:p w:rsidR="00682235" w:rsidRDefault="00682235" w:rsidP="00682235">
            <w:pPr>
              <w:widowControl w:val="0"/>
              <w:suppressAutoHyphens/>
              <w:rPr>
                <w:snapToGrid w:val="0"/>
                <w:szCs w:val="20"/>
              </w:rPr>
            </w:pPr>
            <w:r w:rsidRPr="00682235">
              <w:rPr>
                <w:snapToGrid w:val="0"/>
                <w:szCs w:val="20"/>
              </w:rPr>
              <w:t>Presented “Creating a Study Abroad Service Learning Course”, Panel Presentation at Sigma Theta Tau International Region 8 Conference, Birmingham, AL, October, 2008</w:t>
            </w:r>
          </w:p>
          <w:p w:rsidR="00CE2603" w:rsidRDefault="00CE2603" w:rsidP="00404FE7">
            <w:pPr>
              <w:widowControl w:val="0"/>
              <w:suppressAutoHyphens/>
              <w:rPr>
                <w:snapToGrid w:val="0"/>
                <w:szCs w:val="20"/>
              </w:rPr>
            </w:pPr>
          </w:p>
          <w:p w:rsidR="00404FE7" w:rsidRPr="00404FE7" w:rsidRDefault="00404FE7" w:rsidP="00404FE7">
            <w:pPr>
              <w:widowControl w:val="0"/>
              <w:suppressAutoHyphens/>
              <w:rPr>
                <w:snapToGrid w:val="0"/>
                <w:szCs w:val="20"/>
              </w:rPr>
            </w:pPr>
            <w:r w:rsidRPr="00404FE7">
              <w:rPr>
                <w:snapToGrid w:val="0"/>
                <w:szCs w:val="20"/>
              </w:rPr>
              <w:t>Presented “Creating a Study Aboard Service Learning Course”, Gamma Chi chapter meeting of Delta Kappa Gamma, Florence, AL, February, 2009</w:t>
            </w:r>
          </w:p>
          <w:p w:rsidR="00404FE7" w:rsidRDefault="00404FE7" w:rsidP="00682235">
            <w:pPr>
              <w:widowControl w:val="0"/>
              <w:suppressAutoHyphens/>
              <w:rPr>
                <w:snapToGrid w:val="0"/>
                <w:szCs w:val="20"/>
              </w:rPr>
            </w:pPr>
          </w:p>
          <w:p w:rsidR="00D6266B" w:rsidRPr="000159AD" w:rsidRDefault="002A7115" w:rsidP="00CE2603">
            <w:pPr>
              <w:widowControl w:val="0"/>
              <w:suppressAutoHyphens/>
              <w:rPr>
                <w:snapToGrid w:val="0"/>
                <w:szCs w:val="20"/>
              </w:rPr>
            </w:pPr>
            <w:r w:rsidRPr="002A7115">
              <w:rPr>
                <w:snapToGrid w:val="0"/>
                <w:szCs w:val="20"/>
              </w:rPr>
              <w:t xml:space="preserve">Presented “Disaster Relief—earthquake on island of </w:t>
            </w:r>
            <w:smartTag w:uri="urn:schemas-microsoft-com:office:smarttags" w:element="place">
              <w:smartTag w:uri="urn:schemas-microsoft-com:office:smarttags" w:element="City">
                <w:r w:rsidRPr="002A7115">
                  <w:rPr>
                    <w:snapToGrid w:val="0"/>
                    <w:szCs w:val="20"/>
                  </w:rPr>
                  <w:t>Nias</w:t>
                </w:r>
              </w:smartTag>
              <w:r w:rsidRPr="002A7115">
                <w:rPr>
                  <w:snapToGrid w:val="0"/>
                  <w:szCs w:val="20"/>
                </w:rPr>
                <w:t xml:space="preserve">, </w:t>
              </w:r>
              <w:smartTag w:uri="urn:schemas-microsoft-com:office:smarttags" w:element="country-region">
                <w:r w:rsidRPr="002A7115">
                  <w:rPr>
                    <w:snapToGrid w:val="0"/>
                    <w:szCs w:val="20"/>
                  </w:rPr>
                  <w:t>Indonesia</w:t>
                </w:r>
              </w:smartTag>
            </w:smartTag>
            <w:r w:rsidRPr="002A7115">
              <w:rPr>
                <w:snapToGrid w:val="0"/>
                <w:szCs w:val="20"/>
              </w:rPr>
              <w:t xml:space="preserve">”, Presidential Mentors Academy, UNA, July, 2005 </w:t>
            </w:r>
          </w:p>
        </w:tc>
      </w:tr>
    </w:tbl>
    <w:p w:rsidR="00740815" w:rsidRDefault="00740815" w:rsidP="00854C45">
      <w:pPr>
        <w:rPr>
          <w:b/>
        </w:rPr>
      </w:pPr>
    </w:p>
    <w:p w:rsidR="001F6363" w:rsidRDefault="001F6363" w:rsidP="00854C45">
      <w:pPr>
        <w:rPr>
          <w:b/>
        </w:rPr>
      </w:pPr>
      <w:r w:rsidRPr="00854C45">
        <w:rPr>
          <w:b/>
        </w:rPr>
        <w:t>Service, including service to public schools</w:t>
      </w:r>
    </w:p>
    <w:p w:rsidR="00740815" w:rsidRDefault="00740815" w:rsidP="00A121CB">
      <w:pPr>
        <w:pStyle w:val="PlainText"/>
        <w:rPr>
          <w:rFonts w:ascii="Times New Roman" w:hAnsi="Times New Roman"/>
          <w:sz w:val="24"/>
          <w:szCs w:val="24"/>
        </w:rPr>
      </w:pPr>
    </w:p>
    <w:p w:rsidR="00E7500C" w:rsidRPr="00740815" w:rsidRDefault="00372731" w:rsidP="00381867">
      <w:pPr>
        <w:pStyle w:val="PlainText"/>
        <w:spacing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54C45" w:rsidRPr="006E2663">
        <w:rPr>
          <w:rFonts w:ascii="Times New Roman" w:hAnsi="Times New Roman"/>
          <w:sz w:val="24"/>
          <w:szCs w:val="24"/>
        </w:rPr>
        <w:t xml:space="preserve">Faculty of the Online Department actively serve </w:t>
      </w:r>
      <w:r w:rsidR="001941C9">
        <w:rPr>
          <w:rFonts w:ascii="Times New Roman" w:hAnsi="Times New Roman"/>
          <w:sz w:val="24"/>
          <w:szCs w:val="24"/>
        </w:rPr>
        <w:t>on many University committees, d</w:t>
      </w:r>
      <w:r w:rsidR="00854C45" w:rsidRPr="006E2663">
        <w:rPr>
          <w:rFonts w:ascii="Times New Roman" w:hAnsi="Times New Roman"/>
          <w:sz w:val="24"/>
          <w:szCs w:val="24"/>
        </w:rPr>
        <w:t>e</w:t>
      </w:r>
      <w:r w:rsidR="001941C9">
        <w:rPr>
          <w:rFonts w:ascii="Times New Roman" w:hAnsi="Times New Roman"/>
          <w:sz w:val="24"/>
          <w:szCs w:val="24"/>
        </w:rPr>
        <w:t>partmental committees, and volunteer</w:t>
      </w:r>
      <w:r>
        <w:rPr>
          <w:rFonts w:ascii="Times New Roman" w:hAnsi="Times New Roman"/>
          <w:sz w:val="24"/>
          <w:szCs w:val="24"/>
        </w:rPr>
        <w:t xml:space="preserve"> in community service</w:t>
      </w:r>
      <w:r w:rsidR="00854C45" w:rsidRPr="006E2663">
        <w:rPr>
          <w:rFonts w:ascii="Times New Roman" w:hAnsi="Times New Roman"/>
          <w:sz w:val="24"/>
          <w:szCs w:val="24"/>
        </w:rPr>
        <w:t>.  Exampl</w:t>
      </w:r>
      <w:r w:rsidR="00A121CB">
        <w:rPr>
          <w:rFonts w:ascii="Times New Roman" w:hAnsi="Times New Roman"/>
          <w:sz w:val="24"/>
          <w:szCs w:val="24"/>
        </w:rPr>
        <w:t xml:space="preserve">es of service given </w:t>
      </w:r>
      <w:r w:rsidR="00156239">
        <w:rPr>
          <w:rFonts w:ascii="Times New Roman" w:hAnsi="Times New Roman"/>
          <w:sz w:val="24"/>
          <w:szCs w:val="24"/>
        </w:rPr>
        <w:t xml:space="preserve">by OD faculty </w:t>
      </w:r>
      <w:r w:rsidR="00854C45" w:rsidRPr="006E2663">
        <w:rPr>
          <w:rFonts w:ascii="Times New Roman" w:hAnsi="Times New Roman"/>
          <w:sz w:val="24"/>
          <w:szCs w:val="24"/>
        </w:rPr>
        <w:t>include</w:t>
      </w:r>
      <w:r w:rsidR="00CE2603">
        <w:rPr>
          <w:rFonts w:ascii="Times New Roman" w:hAnsi="Times New Roman"/>
          <w:sz w:val="24"/>
          <w:szCs w:val="24"/>
        </w:rPr>
        <w:t xml:space="preserve"> membership </w:t>
      </w:r>
      <w:r w:rsidR="00A121CB">
        <w:rPr>
          <w:rFonts w:ascii="Times New Roman" w:hAnsi="Times New Roman"/>
          <w:sz w:val="24"/>
          <w:szCs w:val="24"/>
        </w:rPr>
        <w:t xml:space="preserve">or volunteer activity </w:t>
      </w:r>
      <w:r w:rsidR="00CE2603">
        <w:rPr>
          <w:rFonts w:ascii="Times New Roman" w:hAnsi="Times New Roman"/>
          <w:sz w:val="24"/>
          <w:szCs w:val="24"/>
        </w:rPr>
        <w:t>on the following</w:t>
      </w:r>
      <w:r w:rsidR="00A121CB">
        <w:rPr>
          <w:rFonts w:ascii="Times New Roman" w:hAnsi="Times New Roman"/>
          <w:sz w:val="24"/>
          <w:szCs w:val="24"/>
        </w:rPr>
        <w:t>:</w:t>
      </w:r>
    </w:p>
    <w:tbl>
      <w:tblPr>
        <w:tblStyle w:val="TableGrid"/>
        <w:tblW w:w="9900" w:type="dxa"/>
        <w:tblInd w:w="18" w:type="dxa"/>
        <w:tblLook w:val="04A0" w:firstRow="1" w:lastRow="0" w:firstColumn="1" w:lastColumn="0" w:noHBand="0" w:noVBand="1"/>
      </w:tblPr>
      <w:tblGrid>
        <w:gridCol w:w="3780"/>
        <w:gridCol w:w="2970"/>
        <w:gridCol w:w="3150"/>
      </w:tblGrid>
      <w:tr w:rsidR="00A121CB" w:rsidTr="00740815">
        <w:tc>
          <w:tcPr>
            <w:tcW w:w="3780" w:type="dxa"/>
            <w:vAlign w:val="center"/>
          </w:tcPr>
          <w:p w:rsidR="00A121CB" w:rsidRPr="00A121CB" w:rsidRDefault="00A121CB" w:rsidP="00A121CB">
            <w:pPr>
              <w:widowControl w:val="0"/>
              <w:jc w:val="center"/>
              <w:rPr>
                <w:b/>
                <w:snapToGrid w:val="0"/>
              </w:rPr>
            </w:pPr>
            <w:r w:rsidRPr="00A121CB">
              <w:rPr>
                <w:b/>
                <w:snapToGrid w:val="0"/>
              </w:rPr>
              <w:t>University Committees</w:t>
            </w:r>
          </w:p>
        </w:tc>
        <w:tc>
          <w:tcPr>
            <w:tcW w:w="2970" w:type="dxa"/>
            <w:vAlign w:val="center"/>
          </w:tcPr>
          <w:p w:rsidR="00A121CB" w:rsidRPr="00A121CB" w:rsidRDefault="00CF4380" w:rsidP="00A121CB">
            <w:pPr>
              <w:pStyle w:val="ListParagraph"/>
              <w:widowControl w:val="0"/>
              <w:ind w:left="0"/>
              <w:jc w:val="center"/>
              <w:rPr>
                <w:b/>
                <w:snapToGrid w:val="0"/>
              </w:rPr>
            </w:pPr>
            <w:r>
              <w:rPr>
                <w:b/>
                <w:snapToGrid w:val="0"/>
              </w:rPr>
              <w:t xml:space="preserve">CONAH &amp; </w:t>
            </w:r>
            <w:r w:rsidR="00A121CB" w:rsidRPr="00A121CB">
              <w:rPr>
                <w:b/>
                <w:snapToGrid w:val="0"/>
              </w:rPr>
              <w:t>Online Nursing Committees</w:t>
            </w:r>
          </w:p>
        </w:tc>
        <w:tc>
          <w:tcPr>
            <w:tcW w:w="3150" w:type="dxa"/>
            <w:vAlign w:val="center"/>
          </w:tcPr>
          <w:p w:rsidR="00A121CB" w:rsidRPr="00A121CB" w:rsidRDefault="00A121CB" w:rsidP="00A121CB">
            <w:pPr>
              <w:pStyle w:val="ListParagraph"/>
              <w:widowControl w:val="0"/>
              <w:ind w:left="0"/>
              <w:jc w:val="center"/>
              <w:rPr>
                <w:b/>
                <w:snapToGrid w:val="0"/>
              </w:rPr>
            </w:pPr>
            <w:r w:rsidRPr="00A121CB">
              <w:rPr>
                <w:b/>
                <w:snapToGrid w:val="0"/>
              </w:rPr>
              <w:t>Community Service</w:t>
            </w:r>
          </w:p>
        </w:tc>
      </w:tr>
      <w:tr w:rsidR="00A121CB" w:rsidTr="00740815">
        <w:trPr>
          <w:trHeight w:val="350"/>
        </w:trPr>
        <w:tc>
          <w:tcPr>
            <w:tcW w:w="3780" w:type="dxa"/>
            <w:tcBorders>
              <w:bottom w:val="single" w:sz="4" w:space="0" w:color="auto"/>
            </w:tcBorders>
          </w:tcPr>
          <w:p w:rsidR="00A121CB" w:rsidRPr="00156239" w:rsidRDefault="00A121CB" w:rsidP="00372731">
            <w:pPr>
              <w:pStyle w:val="PlainText"/>
              <w:numPr>
                <w:ilvl w:val="0"/>
                <w:numId w:val="14"/>
              </w:numPr>
              <w:ind w:left="360" w:hanging="270"/>
              <w:rPr>
                <w:rFonts w:ascii="Times New Roman" w:hAnsi="Times New Roman"/>
                <w:sz w:val="24"/>
                <w:szCs w:val="24"/>
              </w:rPr>
            </w:pPr>
            <w:r w:rsidRPr="00156239">
              <w:rPr>
                <w:rFonts w:ascii="Times New Roman" w:hAnsi="Times New Roman"/>
                <w:sz w:val="24"/>
                <w:szCs w:val="24"/>
              </w:rPr>
              <w:t>Academic &amp; Student Affairs</w:t>
            </w:r>
          </w:p>
          <w:p w:rsidR="00A121CB"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right="-108" w:hanging="270"/>
              <w:rPr>
                <w:snapToGrid w:val="0"/>
                <w:szCs w:val="20"/>
              </w:rPr>
            </w:pPr>
            <w:r w:rsidRPr="006E2663">
              <w:rPr>
                <w:snapToGrid w:val="0"/>
                <w:szCs w:val="20"/>
              </w:rPr>
              <w:t>Academic Affairs Outstanding Scholarship/Researc</w:t>
            </w:r>
            <w:r>
              <w:rPr>
                <w:snapToGrid w:val="0"/>
                <w:szCs w:val="20"/>
              </w:rPr>
              <w:t>h</w:t>
            </w:r>
            <w:r w:rsidRPr="006E2663">
              <w:rPr>
                <w:snapToGrid w:val="0"/>
                <w:szCs w:val="20"/>
              </w:rPr>
              <w:t xml:space="preserve"> Award Committee</w:t>
            </w:r>
          </w:p>
          <w:p w:rsidR="00A121CB"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right="-108" w:hanging="270"/>
              <w:rPr>
                <w:snapToGrid w:val="0"/>
                <w:szCs w:val="20"/>
              </w:rPr>
            </w:pPr>
            <w:r w:rsidRPr="00A121CB">
              <w:rPr>
                <w:snapToGrid w:val="0"/>
                <w:szCs w:val="20"/>
              </w:rPr>
              <w:t>Academic Affairs Outstanding Teacher Award Committee</w:t>
            </w:r>
          </w:p>
          <w:p w:rsidR="00A121CB" w:rsidRPr="00A121CB"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right="-108" w:hanging="270"/>
              <w:rPr>
                <w:snapToGrid w:val="0"/>
                <w:szCs w:val="20"/>
              </w:rPr>
            </w:pPr>
            <w:r w:rsidRPr="00A121CB">
              <w:rPr>
                <w:snapToGrid w:val="0"/>
                <w:szCs w:val="20"/>
              </w:rPr>
              <w:t>ADA Panel</w:t>
            </w:r>
          </w:p>
          <w:p w:rsidR="00A121CB" w:rsidRPr="00156239"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t>Distance Learning Advisory Committee</w:t>
            </w:r>
          </w:p>
          <w:p w:rsidR="00A121CB" w:rsidRPr="00156239"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6E2663">
              <w:t>Diversity Task Force</w:t>
            </w:r>
          </w:p>
          <w:p w:rsidR="00A121CB"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rsidRPr="00156239">
              <w:t>Enrollment M</w:t>
            </w:r>
            <w:r>
              <w:t>anagement Task Force</w:t>
            </w:r>
          </w:p>
          <w:p w:rsidR="00A121CB"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6E2663">
              <w:rPr>
                <w:snapToGrid w:val="0"/>
                <w:szCs w:val="20"/>
              </w:rPr>
              <w:t>Facu</w:t>
            </w:r>
            <w:r w:rsidRPr="00156239">
              <w:rPr>
                <w:snapToGrid w:val="0"/>
                <w:szCs w:val="20"/>
              </w:rPr>
              <w:t>lty Affairs Committee</w:t>
            </w:r>
          </w:p>
          <w:p w:rsidR="00A121CB"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6E2663">
              <w:rPr>
                <w:snapToGrid w:val="0"/>
                <w:szCs w:val="20"/>
              </w:rPr>
              <w:t>Faculty De</w:t>
            </w:r>
            <w:r>
              <w:rPr>
                <w:snapToGrid w:val="0"/>
                <w:szCs w:val="20"/>
              </w:rPr>
              <w:t>velopment Leave Committee</w:t>
            </w:r>
          </w:p>
          <w:p w:rsidR="00A121CB" w:rsidRPr="00156239"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156239">
              <w:rPr>
                <w:snapToGrid w:val="0"/>
              </w:rPr>
              <w:t>Faculty Senate</w:t>
            </w:r>
          </w:p>
          <w:p w:rsidR="00A121CB" w:rsidRDefault="00A121CB" w:rsidP="00A121C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6E2663">
              <w:rPr>
                <w:snapToGrid w:val="0"/>
                <w:szCs w:val="20"/>
              </w:rPr>
              <w:t>Faculty Senate Con</w:t>
            </w:r>
            <w:r>
              <w:rPr>
                <w:snapToGrid w:val="0"/>
                <w:szCs w:val="20"/>
              </w:rPr>
              <w:t>stitution Review Committee</w:t>
            </w:r>
          </w:p>
          <w:p w:rsidR="00E7500C" w:rsidRDefault="00E7500C" w:rsidP="00853CCB">
            <w:pPr>
              <w:widowControl w:val="0"/>
              <w:tabs>
                <w:tab w:val="left" w:pos="630"/>
                <w:tab w:val="left" w:pos="1260"/>
                <w:tab w:val="left" w:pos="1890"/>
                <w:tab w:val="left" w:pos="2520"/>
                <w:tab w:val="left" w:pos="3150"/>
                <w:tab w:val="left" w:pos="3780"/>
                <w:tab w:val="left" w:pos="4410"/>
                <w:tab w:val="left" w:pos="5040"/>
              </w:tabs>
              <w:suppressAutoHyphens/>
              <w:rPr>
                <w:snapToGrid w:val="0"/>
                <w:szCs w:val="20"/>
              </w:rPr>
            </w:pPr>
          </w:p>
          <w:p w:rsidR="00A121CB" w:rsidRPr="00E7500C" w:rsidRDefault="00E7500C" w:rsidP="00E7500C">
            <w:pPr>
              <w:widowControl w:val="0"/>
              <w:ind w:left="360"/>
              <w:rPr>
                <w:b/>
                <w:snapToGrid w:val="0"/>
              </w:rPr>
            </w:pPr>
            <w:r>
              <w:rPr>
                <w:snapToGrid w:val="0"/>
                <w:szCs w:val="20"/>
              </w:rPr>
              <w:lastRenderedPageBreak/>
              <w:t>(</w:t>
            </w:r>
            <w:r w:rsidRPr="00853CCB">
              <w:rPr>
                <w:snapToGrid w:val="0"/>
                <w:szCs w:val="20"/>
              </w:rPr>
              <w:t>continued)</w:t>
            </w:r>
          </w:p>
        </w:tc>
        <w:tc>
          <w:tcPr>
            <w:tcW w:w="2970" w:type="dxa"/>
            <w:tcBorders>
              <w:bottom w:val="single" w:sz="4" w:space="0" w:color="auto"/>
            </w:tcBorders>
          </w:tcPr>
          <w:p w:rsidR="00CF4380" w:rsidRDefault="00CF4380" w:rsidP="00CF4380">
            <w:pPr>
              <w:pStyle w:val="ListParagraph"/>
              <w:widowControl w:val="0"/>
              <w:numPr>
                <w:ilvl w:val="0"/>
                <w:numId w:val="14"/>
              </w:numPr>
              <w:tabs>
                <w:tab w:val="left" w:pos="12"/>
              </w:tabs>
              <w:ind w:left="252" w:hanging="252"/>
              <w:rPr>
                <w:snapToGrid w:val="0"/>
              </w:rPr>
            </w:pPr>
            <w:r>
              <w:rPr>
                <w:snapToGrid w:val="0"/>
              </w:rPr>
              <w:lastRenderedPageBreak/>
              <w:t>CONAH Faculty Committee</w:t>
            </w:r>
          </w:p>
          <w:p w:rsidR="0027580B" w:rsidRDefault="0027580B" w:rsidP="00CF4380">
            <w:pPr>
              <w:pStyle w:val="ListParagraph"/>
              <w:widowControl w:val="0"/>
              <w:numPr>
                <w:ilvl w:val="0"/>
                <w:numId w:val="14"/>
              </w:numPr>
              <w:tabs>
                <w:tab w:val="left" w:pos="12"/>
              </w:tabs>
              <w:ind w:left="252" w:hanging="252"/>
              <w:rPr>
                <w:snapToGrid w:val="0"/>
              </w:rPr>
            </w:pPr>
            <w:r>
              <w:t>Portfolio Development Committee, ad hoc</w:t>
            </w:r>
          </w:p>
          <w:p w:rsidR="00CF4380" w:rsidRDefault="00CF4380" w:rsidP="00CF4380">
            <w:pPr>
              <w:pStyle w:val="ListParagraph"/>
              <w:widowControl w:val="0"/>
              <w:numPr>
                <w:ilvl w:val="0"/>
                <w:numId w:val="14"/>
              </w:numPr>
              <w:tabs>
                <w:tab w:val="left" w:pos="12"/>
              </w:tabs>
              <w:ind w:left="252" w:hanging="252"/>
              <w:rPr>
                <w:snapToGrid w:val="0"/>
              </w:rPr>
            </w:pPr>
            <w:r>
              <w:rPr>
                <w:snapToGrid w:val="0"/>
              </w:rPr>
              <w:t>CCNE Steering Committee</w:t>
            </w:r>
          </w:p>
          <w:p w:rsidR="00A121CB" w:rsidRDefault="00CF4380" w:rsidP="00CF4380">
            <w:pPr>
              <w:pStyle w:val="ListParagraph"/>
              <w:widowControl w:val="0"/>
              <w:numPr>
                <w:ilvl w:val="0"/>
                <w:numId w:val="14"/>
              </w:numPr>
              <w:tabs>
                <w:tab w:val="left" w:pos="12"/>
              </w:tabs>
              <w:ind w:left="252" w:hanging="252"/>
              <w:rPr>
                <w:snapToGrid w:val="0"/>
              </w:rPr>
            </w:pPr>
            <w:r>
              <w:rPr>
                <w:snapToGrid w:val="0"/>
              </w:rPr>
              <w:t>Online Faculty Committee</w:t>
            </w:r>
          </w:p>
          <w:p w:rsidR="00CF4380" w:rsidRDefault="00CF4380" w:rsidP="00CF4380">
            <w:pPr>
              <w:pStyle w:val="ListParagraph"/>
              <w:widowControl w:val="0"/>
              <w:numPr>
                <w:ilvl w:val="0"/>
                <w:numId w:val="14"/>
              </w:numPr>
              <w:tabs>
                <w:tab w:val="left" w:pos="12"/>
              </w:tabs>
              <w:ind w:left="252" w:hanging="252"/>
              <w:rPr>
                <w:snapToGrid w:val="0"/>
              </w:rPr>
            </w:pPr>
            <w:r>
              <w:rPr>
                <w:snapToGrid w:val="0"/>
              </w:rPr>
              <w:t>Online Admissions/ Readmissions Committee</w:t>
            </w:r>
          </w:p>
          <w:p w:rsidR="00CF4380" w:rsidRDefault="00CF4380" w:rsidP="00CF4380">
            <w:pPr>
              <w:pStyle w:val="ListParagraph"/>
              <w:widowControl w:val="0"/>
              <w:numPr>
                <w:ilvl w:val="0"/>
                <w:numId w:val="14"/>
              </w:numPr>
              <w:tabs>
                <w:tab w:val="left" w:pos="12"/>
              </w:tabs>
              <w:ind w:left="252" w:hanging="252"/>
              <w:rPr>
                <w:snapToGrid w:val="0"/>
              </w:rPr>
            </w:pPr>
            <w:r>
              <w:rPr>
                <w:snapToGrid w:val="0"/>
              </w:rPr>
              <w:t>Online Program Effectiveness and Curriculum Committee</w:t>
            </w:r>
          </w:p>
          <w:p w:rsidR="00CF4380" w:rsidRPr="00CF4380" w:rsidRDefault="00CF4380" w:rsidP="00CF4380">
            <w:pPr>
              <w:pStyle w:val="ListParagraph"/>
              <w:widowControl w:val="0"/>
              <w:numPr>
                <w:ilvl w:val="0"/>
                <w:numId w:val="14"/>
              </w:numPr>
              <w:tabs>
                <w:tab w:val="left" w:pos="0"/>
                <w:tab w:val="left" w:pos="252"/>
                <w:tab w:val="left" w:pos="342"/>
                <w:tab w:val="left" w:pos="1890"/>
                <w:tab w:val="left" w:pos="2520"/>
                <w:tab w:val="left" w:pos="3150"/>
                <w:tab w:val="left" w:pos="3780"/>
                <w:tab w:val="left" w:pos="4410"/>
                <w:tab w:val="left" w:pos="5040"/>
              </w:tabs>
              <w:suppressAutoHyphens/>
              <w:ind w:left="252" w:hanging="252"/>
              <w:rPr>
                <w:rFonts w:ascii="Arial" w:hAnsi="Arial"/>
                <w:snapToGrid w:val="0"/>
                <w:szCs w:val="20"/>
              </w:rPr>
            </w:pPr>
            <w:r>
              <w:rPr>
                <w:snapToGrid w:val="0"/>
                <w:szCs w:val="20"/>
              </w:rPr>
              <w:t xml:space="preserve">Online Student Guidelines &amp;   </w:t>
            </w:r>
            <w:r w:rsidRPr="00CF4380">
              <w:rPr>
                <w:snapToGrid w:val="0"/>
                <w:szCs w:val="20"/>
              </w:rPr>
              <w:t>Resources Committee</w:t>
            </w:r>
            <w:r w:rsidRPr="00CF4380">
              <w:rPr>
                <w:rFonts w:ascii="Arial" w:hAnsi="Arial"/>
                <w:snapToGrid w:val="0"/>
                <w:szCs w:val="20"/>
              </w:rPr>
              <w:t xml:space="preserve"> </w:t>
            </w:r>
          </w:p>
          <w:p w:rsidR="00CF4380" w:rsidRPr="00CF4380" w:rsidRDefault="00CF4380" w:rsidP="00CF4380">
            <w:pPr>
              <w:pStyle w:val="ListParagraph"/>
              <w:widowControl w:val="0"/>
              <w:numPr>
                <w:ilvl w:val="0"/>
                <w:numId w:val="14"/>
              </w:numPr>
              <w:tabs>
                <w:tab w:val="left" w:pos="12"/>
              </w:tabs>
              <w:ind w:left="252" w:hanging="252"/>
              <w:rPr>
                <w:snapToGrid w:val="0"/>
              </w:rPr>
            </w:pPr>
            <w:r w:rsidRPr="00CF4380">
              <w:rPr>
                <w:snapToGrid w:val="0"/>
                <w:szCs w:val="20"/>
              </w:rPr>
              <w:t>Online Retention, Recruitment, Promotion Committee</w:t>
            </w:r>
          </w:p>
        </w:tc>
        <w:tc>
          <w:tcPr>
            <w:tcW w:w="3150" w:type="dxa"/>
            <w:tcBorders>
              <w:bottom w:val="single" w:sz="4" w:space="0" w:color="auto"/>
            </w:tcBorders>
          </w:tcPr>
          <w:p w:rsidR="00E7500C" w:rsidRPr="00FD72ED" w:rsidRDefault="00E7500C" w:rsidP="00E7500C">
            <w:pPr>
              <w:widowControl w:val="0"/>
              <w:numPr>
                <w:ilvl w:val="0"/>
                <w:numId w:val="15"/>
              </w:numPr>
              <w:suppressAutoHyphens/>
              <w:spacing w:line="276" w:lineRule="auto"/>
              <w:ind w:left="390" w:hanging="225"/>
              <w:rPr>
                <w:snapToGrid w:val="0"/>
              </w:rPr>
            </w:pPr>
            <w:r w:rsidRPr="00FD72ED">
              <w:rPr>
                <w:snapToGrid w:val="0"/>
              </w:rPr>
              <w:t>Alabama Citiz</w:t>
            </w:r>
            <w:r>
              <w:rPr>
                <w:snapToGrid w:val="0"/>
              </w:rPr>
              <w:t>en’s for Constitutional Reform</w:t>
            </w:r>
          </w:p>
          <w:p w:rsidR="00E7500C" w:rsidRPr="00FD72ED" w:rsidRDefault="00E7500C" w:rsidP="00E7500C">
            <w:pPr>
              <w:widowControl w:val="0"/>
              <w:numPr>
                <w:ilvl w:val="0"/>
                <w:numId w:val="15"/>
              </w:numPr>
              <w:suppressAutoHyphens/>
              <w:spacing w:line="276" w:lineRule="auto"/>
              <w:ind w:left="390" w:hanging="225"/>
              <w:rPr>
                <w:snapToGrid w:val="0"/>
              </w:rPr>
            </w:pPr>
            <w:r>
              <w:t>Advisory Committee for Health Occupations Education</w:t>
            </w:r>
          </w:p>
          <w:p w:rsidR="00E7500C" w:rsidRDefault="00E7500C" w:rsidP="00E7500C">
            <w:pPr>
              <w:widowControl w:val="0"/>
              <w:numPr>
                <w:ilvl w:val="0"/>
                <w:numId w:val="15"/>
              </w:numPr>
              <w:suppressAutoHyphens/>
              <w:spacing w:line="276" w:lineRule="auto"/>
              <w:ind w:left="390" w:hanging="225"/>
              <w:rPr>
                <w:snapToGrid w:val="0"/>
              </w:rPr>
            </w:pPr>
            <w:r>
              <w:rPr>
                <w:snapToGrid w:val="0"/>
              </w:rPr>
              <w:t>Health Fair – Community Health Clinic</w:t>
            </w:r>
          </w:p>
          <w:p w:rsidR="00E7500C" w:rsidRDefault="00E7500C" w:rsidP="00E7500C">
            <w:pPr>
              <w:widowControl w:val="0"/>
              <w:numPr>
                <w:ilvl w:val="0"/>
                <w:numId w:val="15"/>
              </w:numPr>
              <w:suppressAutoHyphens/>
              <w:spacing w:line="276" w:lineRule="auto"/>
              <w:ind w:left="390" w:hanging="225"/>
              <w:rPr>
                <w:snapToGrid w:val="0"/>
              </w:rPr>
            </w:pPr>
            <w:r>
              <w:rPr>
                <w:snapToGrid w:val="0"/>
              </w:rPr>
              <w:t>Medical Mission Trips Overseas</w:t>
            </w:r>
          </w:p>
          <w:p w:rsidR="00E7500C" w:rsidRPr="00FD72ED" w:rsidRDefault="00E7500C" w:rsidP="00E7500C">
            <w:pPr>
              <w:widowControl w:val="0"/>
              <w:numPr>
                <w:ilvl w:val="0"/>
                <w:numId w:val="15"/>
              </w:numPr>
              <w:suppressAutoHyphens/>
              <w:spacing w:line="276" w:lineRule="auto"/>
              <w:ind w:left="390" w:hanging="225"/>
              <w:rPr>
                <w:snapToGrid w:val="0"/>
              </w:rPr>
            </w:pPr>
            <w:r>
              <w:t>American Heart Association, BLS Instructor</w:t>
            </w:r>
          </w:p>
          <w:p w:rsidR="00E7500C" w:rsidRPr="00E7500C" w:rsidRDefault="00E7500C" w:rsidP="00E7500C">
            <w:pPr>
              <w:widowControl w:val="0"/>
              <w:numPr>
                <w:ilvl w:val="0"/>
                <w:numId w:val="15"/>
              </w:numPr>
              <w:suppressAutoHyphens/>
              <w:spacing w:line="276" w:lineRule="auto"/>
              <w:ind w:left="390" w:hanging="225"/>
              <w:rPr>
                <w:snapToGrid w:val="0"/>
              </w:rPr>
            </w:pPr>
            <w:r>
              <w:t>Volunteer, Alabama Department of Public Health (H1N1 Vaccination Program)</w:t>
            </w:r>
          </w:p>
          <w:p w:rsidR="00DC320B" w:rsidRPr="00DC320B" w:rsidRDefault="00DC320B" w:rsidP="00E7500C">
            <w:pPr>
              <w:widowControl w:val="0"/>
              <w:suppressAutoHyphens/>
              <w:spacing w:line="276" w:lineRule="auto"/>
              <w:rPr>
                <w:szCs w:val="20"/>
              </w:rPr>
            </w:pPr>
          </w:p>
        </w:tc>
      </w:tr>
      <w:tr w:rsidR="00853CCB" w:rsidTr="00740815">
        <w:trPr>
          <w:trHeight w:val="620"/>
        </w:trPr>
        <w:tc>
          <w:tcPr>
            <w:tcW w:w="3780" w:type="dxa"/>
            <w:tcBorders>
              <w:top w:val="single" w:sz="4" w:space="0" w:color="auto"/>
              <w:bottom w:val="single" w:sz="4" w:space="0" w:color="auto"/>
            </w:tcBorders>
            <w:vAlign w:val="center"/>
          </w:tcPr>
          <w:p w:rsidR="00853CCB" w:rsidRPr="00853CCB" w:rsidRDefault="00853CCB" w:rsidP="00853CCB">
            <w:pPr>
              <w:widowControl w:val="0"/>
              <w:ind w:left="360"/>
              <w:jc w:val="center"/>
              <w:rPr>
                <w:b/>
                <w:snapToGrid w:val="0"/>
              </w:rPr>
            </w:pPr>
            <w:r w:rsidRPr="00853CCB">
              <w:rPr>
                <w:b/>
                <w:snapToGrid w:val="0"/>
              </w:rPr>
              <w:lastRenderedPageBreak/>
              <w:t>University Committees</w:t>
            </w:r>
          </w:p>
        </w:tc>
        <w:tc>
          <w:tcPr>
            <w:tcW w:w="2970" w:type="dxa"/>
            <w:tcBorders>
              <w:top w:val="single" w:sz="4" w:space="0" w:color="auto"/>
              <w:bottom w:val="single" w:sz="4" w:space="0" w:color="auto"/>
            </w:tcBorders>
            <w:vAlign w:val="center"/>
          </w:tcPr>
          <w:p w:rsidR="00853CCB" w:rsidRPr="00853CCB" w:rsidRDefault="00853CCB" w:rsidP="00853CCB">
            <w:pPr>
              <w:widowControl w:val="0"/>
              <w:tabs>
                <w:tab w:val="left" w:pos="12"/>
              </w:tabs>
              <w:ind w:left="360"/>
              <w:jc w:val="center"/>
              <w:rPr>
                <w:snapToGrid w:val="0"/>
              </w:rPr>
            </w:pPr>
            <w:r w:rsidRPr="00853CCB">
              <w:rPr>
                <w:b/>
                <w:snapToGrid w:val="0"/>
              </w:rPr>
              <w:t>CONAH &amp; Online Nursing Committees</w:t>
            </w:r>
          </w:p>
        </w:tc>
        <w:tc>
          <w:tcPr>
            <w:tcW w:w="3150" w:type="dxa"/>
            <w:tcBorders>
              <w:top w:val="single" w:sz="4" w:space="0" w:color="auto"/>
              <w:bottom w:val="single" w:sz="4" w:space="0" w:color="auto"/>
            </w:tcBorders>
            <w:vAlign w:val="center"/>
          </w:tcPr>
          <w:p w:rsidR="00853CCB" w:rsidRDefault="00853CCB" w:rsidP="00853CCB">
            <w:pPr>
              <w:widowControl w:val="0"/>
              <w:suppressAutoHyphens/>
              <w:spacing w:line="276" w:lineRule="auto"/>
              <w:ind w:left="360"/>
              <w:jc w:val="center"/>
              <w:rPr>
                <w:b/>
                <w:snapToGrid w:val="0"/>
              </w:rPr>
            </w:pPr>
          </w:p>
          <w:p w:rsidR="00853CCB" w:rsidRPr="00FD72ED" w:rsidRDefault="00853CCB" w:rsidP="00853CCB">
            <w:pPr>
              <w:widowControl w:val="0"/>
              <w:suppressAutoHyphens/>
              <w:spacing w:line="276" w:lineRule="auto"/>
              <w:ind w:left="360"/>
              <w:jc w:val="center"/>
              <w:rPr>
                <w:snapToGrid w:val="0"/>
              </w:rPr>
            </w:pPr>
            <w:r w:rsidRPr="00A121CB">
              <w:rPr>
                <w:b/>
                <w:snapToGrid w:val="0"/>
              </w:rPr>
              <w:t>Community Service</w:t>
            </w:r>
          </w:p>
        </w:tc>
      </w:tr>
      <w:tr w:rsidR="00853CCB" w:rsidTr="00740815">
        <w:trPr>
          <w:trHeight w:val="5400"/>
        </w:trPr>
        <w:tc>
          <w:tcPr>
            <w:tcW w:w="3780" w:type="dxa"/>
            <w:tcBorders>
              <w:top w:val="single" w:sz="4" w:space="0" w:color="auto"/>
              <w:bottom w:val="single" w:sz="4" w:space="0" w:color="auto"/>
            </w:tcBorders>
          </w:tcPr>
          <w:p w:rsidR="00E7500C" w:rsidRPr="00156239"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Pr>
                <w:snapToGrid w:val="0"/>
              </w:rPr>
              <w:t>F</w:t>
            </w:r>
            <w:r w:rsidRPr="00156239">
              <w:rPr>
                <w:snapToGrid w:val="0"/>
              </w:rPr>
              <w:t>aculty Senate Executive Committee</w:t>
            </w:r>
          </w:p>
          <w:p w:rsidR="00E7500C"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6E2663">
              <w:rPr>
                <w:snapToGrid w:val="0"/>
                <w:szCs w:val="20"/>
              </w:rPr>
              <w:t>Faculty/S</w:t>
            </w:r>
            <w:r w:rsidRPr="00156239">
              <w:rPr>
                <w:snapToGrid w:val="0"/>
                <w:szCs w:val="20"/>
              </w:rPr>
              <w:t>taff Stewardship Committee</w:t>
            </w:r>
          </w:p>
          <w:p w:rsidR="00E7500C"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9B638D">
              <w:t>Faculty Senate Ad Hoc State Political Relations Committee</w:t>
            </w:r>
          </w:p>
          <w:p w:rsidR="00E7500C" w:rsidRPr="00156239"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t>Graduate Council</w:t>
            </w:r>
          </w:p>
          <w:p w:rsidR="00E7500C" w:rsidRPr="00156239"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t>Grievance Committee</w:t>
            </w:r>
          </w:p>
          <w:p w:rsidR="00E7500C"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156239">
              <w:rPr>
                <w:snapToGrid w:val="0"/>
                <w:szCs w:val="20"/>
              </w:rPr>
              <w:t xml:space="preserve">Honors Program Advisory Council </w:t>
            </w:r>
          </w:p>
          <w:p w:rsidR="00E7500C" w:rsidRPr="00156239"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6E2663">
              <w:t xml:space="preserve">Human Resources Search Committee </w:t>
            </w:r>
          </w:p>
          <w:p w:rsidR="00E7500C"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156239">
              <w:rPr>
                <w:snapToGrid w:val="0"/>
                <w:szCs w:val="20"/>
              </w:rPr>
              <w:t>International Programs</w:t>
            </w:r>
            <w:r>
              <w:rPr>
                <w:snapToGrid w:val="0"/>
                <w:szCs w:val="20"/>
              </w:rPr>
              <w:t>/ Offerings Committee</w:t>
            </w:r>
          </w:p>
          <w:p w:rsidR="00E7500C" w:rsidRPr="00156239"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6E2663">
              <w:t>Project OPEN Advisory Committee</w:t>
            </w:r>
          </w:p>
          <w:p w:rsidR="00E7500C" w:rsidRPr="00156239" w:rsidRDefault="00E7500C" w:rsidP="00E7500C">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rPr>
                <w:snapToGrid w:val="0"/>
                <w:szCs w:val="20"/>
              </w:rPr>
            </w:pPr>
            <w:r w:rsidRPr="00156239">
              <w:t xml:space="preserve">SACS Undergraduate and Graduate Programs Committee </w:t>
            </w:r>
          </w:p>
          <w:p w:rsidR="00E7500C" w:rsidRDefault="00E7500C" w:rsidP="00E7500C">
            <w:pPr>
              <w:pStyle w:val="ListParagraph"/>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rsidRPr="00156239">
              <w:t>SACS: General Academic Operations Committee</w:t>
            </w:r>
          </w:p>
          <w:p w:rsidR="00E7500C" w:rsidRDefault="00E7500C" w:rsidP="00E7500C">
            <w:pPr>
              <w:pStyle w:val="ListParagraph"/>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t>SACS Steering Committee on Financial Resources</w:t>
            </w:r>
          </w:p>
          <w:p w:rsidR="00E7500C" w:rsidRPr="00156239" w:rsidRDefault="00E7500C" w:rsidP="00E7500C">
            <w:pPr>
              <w:pStyle w:val="ListParagraph"/>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rsidRPr="00156239">
              <w:rPr>
                <w:snapToGrid w:val="0"/>
                <w:szCs w:val="20"/>
              </w:rPr>
              <w:t xml:space="preserve">Speaker/Concert Series Committee (Distinguished Events Series Committee), </w:t>
            </w:r>
          </w:p>
          <w:p w:rsidR="00E7500C" w:rsidRDefault="00E7500C" w:rsidP="00E7500C">
            <w:pPr>
              <w:pStyle w:val="ListParagraph"/>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rsidRPr="006E2663">
              <w:t xml:space="preserve">Strategic Planning </w:t>
            </w:r>
            <w:r>
              <w:t>Committee</w:t>
            </w:r>
          </w:p>
          <w:p w:rsidR="00E7500C" w:rsidRDefault="00E7500C" w:rsidP="00E7500C">
            <w:pPr>
              <w:pStyle w:val="ListParagraph"/>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t>Technology Advisory Committee</w:t>
            </w:r>
          </w:p>
          <w:p w:rsidR="00E7500C" w:rsidRDefault="00E7500C" w:rsidP="00E7500C">
            <w:pPr>
              <w:pStyle w:val="ListParagraph"/>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rsidRPr="006E2663">
              <w:t>UNA Black Faculty and Staff Association</w:t>
            </w:r>
            <w:r>
              <w:t>, President</w:t>
            </w:r>
          </w:p>
          <w:p w:rsidR="00E7500C" w:rsidRPr="006E2663" w:rsidRDefault="00E7500C" w:rsidP="00E7500C">
            <w:pPr>
              <w:pStyle w:val="ListParagraph"/>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rsidRPr="006E2663">
              <w:t>Vice President for Academic Affairs &amp; Pro</w:t>
            </w:r>
            <w:r>
              <w:t>vost Search Committee (ad hoc)</w:t>
            </w:r>
          </w:p>
          <w:p w:rsidR="00853CCB" w:rsidRPr="00156239" w:rsidRDefault="00E7500C" w:rsidP="0040106B">
            <w:pPr>
              <w:pStyle w:val="ListParagraph"/>
              <w:widowControl w:val="0"/>
              <w:numPr>
                <w:ilvl w:val="0"/>
                <w:numId w:val="14"/>
              </w:numPr>
              <w:tabs>
                <w:tab w:val="left" w:pos="630"/>
                <w:tab w:val="left" w:pos="1260"/>
                <w:tab w:val="left" w:pos="1890"/>
                <w:tab w:val="left" w:pos="2520"/>
                <w:tab w:val="left" w:pos="3150"/>
                <w:tab w:val="left" w:pos="3780"/>
                <w:tab w:val="left" w:pos="4410"/>
                <w:tab w:val="left" w:pos="5040"/>
              </w:tabs>
              <w:suppressAutoHyphens/>
              <w:ind w:left="360" w:hanging="270"/>
            </w:pPr>
            <w:r w:rsidRPr="00156239">
              <w:t>VPAA Excellence in Teaching S</w:t>
            </w:r>
            <w:r>
              <w:t>election Committee</w:t>
            </w:r>
          </w:p>
        </w:tc>
        <w:tc>
          <w:tcPr>
            <w:tcW w:w="2970" w:type="dxa"/>
            <w:tcBorders>
              <w:top w:val="single" w:sz="4" w:space="0" w:color="auto"/>
              <w:bottom w:val="single" w:sz="4" w:space="0" w:color="auto"/>
            </w:tcBorders>
          </w:tcPr>
          <w:p w:rsidR="00853CCB" w:rsidRDefault="00853CCB" w:rsidP="00853CCB">
            <w:pPr>
              <w:pStyle w:val="ListParagraph"/>
              <w:widowControl w:val="0"/>
              <w:tabs>
                <w:tab w:val="left" w:pos="12"/>
              </w:tabs>
              <w:ind w:left="252"/>
              <w:rPr>
                <w:snapToGrid w:val="0"/>
              </w:rPr>
            </w:pPr>
          </w:p>
        </w:tc>
        <w:tc>
          <w:tcPr>
            <w:tcW w:w="3150" w:type="dxa"/>
            <w:tcBorders>
              <w:top w:val="single" w:sz="4" w:space="0" w:color="auto"/>
              <w:bottom w:val="single" w:sz="4" w:space="0" w:color="auto"/>
            </w:tcBorders>
          </w:tcPr>
          <w:p w:rsidR="00E7500C" w:rsidRPr="00B77B69" w:rsidRDefault="00853CCB" w:rsidP="00E7500C">
            <w:pPr>
              <w:pStyle w:val="ListParagraph"/>
              <w:widowControl w:val="0"/>
              <w:numPr>
                <w:ilvl w:val="0"/>
                <w:numId w:val="1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270"/>
              <w:rPr>
                <w:rFonts w:ascii="CG Times" w:hAnsi="CG Times"/>
                <w:snapToGrid w:val="0"/>
                <w:szCs w:val="20"/>
              </w:rPr>
            </w:pPr>
            <w:r w:rsidRPr="001941C9">
              <w:t xml:space="preserve"> </w:t>
            </w:r>
            <w:r w:rsidR="00E7500C" w:rsidRPr="009D3980">
              <w:t>Board of Directors, Northwest Alabama Community Health Association</w:t>
            </w:r>
          </w:p>
          <w:p w:rsidR="00E7500C" w:rsidRPr="00B77B69" w:rsidRDefault="00E7500C" w:rsidP="00E7500C">
            <w:pPr>
              <w:pStyle w:val="ListParagraph"/>
              <w:widowControl w:val="0"/>
              <w:numPr>
                <w:ilvl w:val="0"/>
                <w:numId w:val="1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270"/>
              <w:rPr>
                <w:rFonts w:ascii="CG Times" w:hAnsi="CG Times"/>
                <w:snapToGrid w:val="0"/>
                <w:szCs w:val="20"/>
              </w:rPr>
            </w:pPr>
            <w:r w:rsidRPr="00B77B69">
              <w:rPr>
                <w:szCs w:val="20"/>
              </w:rPr>
              <w:t>National</w:t>
            </w:r>
            <w:r>
              <w:rPr>
                <w:szCs w:val="20"/>
              </w:rPr>
              <w:t xml:space="preserve"> Alliance for the Mentally Ill</w:t>
            </w:r>
          </w:p>
          <w:p w:rsidR="00E7500C" w:rsidRPr="00B77B69" w:rsidRDefault="00E7500C" w:rsidP="00E7500C">
            <w:pPr>
              <w:pStyle w:val="ListParagraph"/>
              <w:widowControl w:val="0"/>
              <w:numPr>
                <w:ilvl w:val="0"/>
                <w:numId w:val="1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270"/>
              <w:rPr>
                <w:rFonts w:ascii="CG Times" w:hAnsi="CG Times"/>
                <w:snapToGrid w:val="0"/>
                <w:szCs w:val="20"/>
              </w:rPr>
            </w:pPr>
            <w:r w:rsidRPr="00B77B69">
              <w:rPr>
                <w:szCs w:val="20"/>
              </w:rPr>
              <w:t>Women’s Center, Advisory Boa</w:t>
            </w:r>
            <w:r>
              <w:rPr>
                <w:szCs w:val="20"/>
              </w:rPr>
              <w:t>rd</w:t>
            </w:r>
          </w:p>
          <w:p w:rsidR="00E7500C" w:rsidRDefault="00E7500C" w:rsidP="00E7500C">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hanging="270"/>
              <w:rPr>
                <w:szCs w:val="20"/>
              </w:rPr>
            </w:pPr>
            <w:r w:rsidRPr="00DC320B">
              <w:rPr>
                <w:szCs w:val="20"/>
              </w:rPr>
              <w:t>Sexual Assault Nurse Examiner for Rape Response of Florence</w:t>
            </w:r>
          </w:p>
          <w:p w:rsidR="00E7500C" w:rsidRDefault="00E7500C" w:rsidP="00E7500C">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hanging="270"/>
              <w:rPr>
                <w:szCs w:val="20"/>
              </w:rPr>
            </w:pPr>
            <w:r w:rsidRPr="00DC320B">
              <w:rPr>
                <w:szCs w:val="20"/>
              </w:rPr>
              <w:t>Community Network Group (HIV awareness, education, and support), Lauderdale County Health Department</w:t>
            </w:r>
          </w:p>
          <w:p w:rsidR="00E7500C" w:rsidRPr="001941C9" w:rsidRDefault="00E7500C" w:rsidP="00E7500C">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hanging="270"/>
              <w:rPr>
                <w:szCs w:val="20"/>
              </w:rPr>
            </w:pPr>
            <w:r w:rsidRPr="001941C9">
              <w:t>Leukemia &amp; Lymphoma Society Volunteer</w:t>
            </w:r>
          </w:p>
          <w:p w:rsidR="00E7500C" w:rsidRPr="00FD72ED" w:rsidRDefault="00E7500C" w:rsidP="00E7500C">
            <w:pPr>
              <w:widowControl w:val="0"/>
              <w:numPr>
                <w:ilvl w:val="0"/>
                <w:numId w:val="15"/>
              </w:numPr>
              <w:suppressAutoHyphens/>
              <w:spacing w:line="276" w:lineRule="auto"/>
              <w:ind w:left="390" w:hanging="225"/>
              <w:rPr>
                <w:snapToGrid w:val="0"/>
              </w:rPr>
            </w:pPr>
            <w:r w:rsidRPr="00FD72ED">
              <w:rPr>
                <w:snapToGrid w:val="0"/>
              </w:rPr>
              <w:t>Alabama Citiz</w:t>
            </w:r>
            <w:r>
              <w:rPr>
                <w:snapToGrid w:val="0"/>
              </w:rPr>
              <w:t>en’s for Constitutional Reform</w:t>
            </w:r>
          </w:p>
          <w:p w:rsidR="00E7500C" w:rsidRPr="00FD72ED" w:rsidRDefault="00E7500C" w:rsidP="00E7500C">
            <w:pPr>
              <w:widowControl w:val="0"/>
              <w:numPr>
                <w:ilvl w:val="0"/>
                <w:numId w:val="15"/>
              </w:numPr>
              <w:suppressAutoHyphens/>
              <w:spacing w:line="276" w:lineRule="auto"/>
              <w:ind w:left="390" w:hanging="225"/>
              <w:rPr>
                <w:snapToGrid w:val="0"/>
              </w:rPr>
            </w:pPr>
            <w:r>
              <w:t>Advisory Committee for Health Occupations Education</w:t>
            </w:r>
          </w:p>
          <w:p w:rsidR="00E7500C" w:rsidRDefault="00E7500C" w:rsidP="00E7500C">
            <w:pPr>
              <w:widowControl w:val="0"/>
              <w:numPr>
                <w:ilvl w:val="0"/>
                <w:numId w:val="15"/>
              </w:numPr>
              <w:suppressAutoHyphens/>
              <w:spacing w:line="276" w:lineRule="auto"/>
              <w:ind w:left="390" w:hanging="225"/>
              <w:rPr>
                <w:snapToGrid w:val="0"/>
              </w:rPr>
            </w:pPr>
            <w:r>
              <w:rPr>
                <w:snapToGrid w:val="0"/>
              </w:rPr>
              <w:t>Health Fair – Community Health Clinic</w:t>
            </w:r>
          </w:p>
          <w:p w:rsidR="00E7500C" w:rsidRDefault="00E7500C" w:rsidP="00E7500C">
            <w:pPr>
              <w:widowControl w:val="0"/>
              <w:numPr>
                <w:ilvl w:val="0"/>
                <w:numId w:val="15"/>
              </w:numPr>
              <w:suppressAutoHyphens/>
              <w:spacing w:line="276" w:lineRule="auto"/>
              <w:ind w:left="390" w:hanging="225"/>
              <w:rPr>
                <w:snapToGrid w:val="0"/>
              </w:rPr>
            </w:pPr>
            <w:r>
              <w:rPr>
                <w:snapToGrid w:val="0"/>
              </w:rPr>
              <w:t>Medical Mission Trips Overseas</w:t>
            </w:r>
          </w:p>
          <w:p w:rsidR="00E7500C" w:rsidRPr="00FD72ED" w:rsidRDefault="00E7500C" w:rsidP="00E7500C">
            <w:pPr>
              <w:widowControl w:val="0"/>
              <w:numPr>
                <w:ilvl w:val="0"/>
                <w:numId w:val="15"/>
              </w:numPr>
              <w:suppressAutoHyphens/>
              <w:spacing w:line="276" w:lineRule="auto"/>
              <w:ind w:left="390" w:hanging="225"/>
              <w:rPr>
                <w:snapToGrid w:val="0"/>
              </w:rPr>
            </w:pPr>
            <w:r>
              <w:t>American Heart Association, BLS Instructor</w:t>
            </w:r>
          </w:p>
          <w:p w:rsidR="00E7500C" w:rsidRPr="00F23513" w:rsidRDefault="00F23513" w:rsidP="00F23513">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hanging="270"/>
              <w:rPr>
                <w:szCs w:val="20"/>
              </w:rPr>
            </w:pPr>
            <w:r>
              <w:t>Various Church/Religious activities</w:t>
            </w:r>
            <w:r w:rsidRPr="001941C9">
              <w:t xml:space="preserve">  </w:t>
            </w:r>
          </w:p>
        </w:tc>
      </w:tr>
    </w:tbl>
    <w:p w:rsidR="006E2663" w:rsidRDefault="006E2663" w:rsidP="00DC320B">
      <w:pPr>
        <w:pStyle w:val="ListParagraph"/>
        <w:widowControl w:val="0"/>
        <w:rPr>
          <w:snapToGrid w:val="0"/>
        </w:rPr>
      </w:pPr>
    </w:p>
    <w:p w:rsidR="00381867" w:rsidRDefault="00381867" w:rsidP="001941C9">
      <w:pPr>
        <w:rPr>
          <w:b/>
        </w:rPr>
      </w:pPr>
    </w:p>
    <w:p w:rsidR="00381867" w:rsidRDefault="00381867" w:rsidP="001941C9">
      <w:pPr>
        <w:rPr>
          <w:b/>
        </w:rPr>
      </w:pPr>
    </w:p>
    <w:p w:rsidR="00381867" w:rsidRDefault="00381867" w:rsidP="001941C9">
      <w:pPr>
        <w:rPr>
          <w:b/>
        </w:rPr>
      </w:pPr>
    </w:p>
    <w:p w:rsidR="00381867" w:rsidRDefault="00381867" w:rsidP="001941C9">
      <w:pPr>
        <w:rPr>
          <w:b/>
        </w:rPr>
      </w:pPr>
    </w:p>
    <w:p w:rsidR="00381867" w:rsidRDefault="00381867" w:rsidP="001941C9">
      <w:pPr>
        <w:rPr>
          <w:b/>
        </w:rPr>
      </w:pPr>
    </w:p>
    <w:p w:rsidR="00381867" w:rsidRDefault="00381867" w:rsidP="001941C9">
      <w:pPr>
        <w:rPr>
          <w:b/>
        </w:rPr>
      </w:pPr>
    </w:p>
    <w:p w:rsidR="001F6363" w:rsidRDefault="001F6363" w:rsidP="001941C9">
      <w:pPr>
        <w:rPr>
          <w:b/>
        </w:rPr>
      </w:pPr>
      <w:r w:rsidRPr="001941C9">
        <w:rPr>
          <w:b/>
        </w:rPr>
        <w:lastRenderedPageBreak/>
        <w:t>Faculty development plans</w:t>
      </w:r>
    </w:p>
    <w:p w:rsidR="00320A16" w:rsidRDefault="00320A16" w:rsidP="0013273B">
      <w:pPr>
        <w:spacing w:line="276" w:lineRule="auto"/>
        <w:rPr>
          <w:b/>
        </w:rPr>
      </w:pPr>
    </w:p>
    <w:p w:rsidR="00EB41C8" w:rsidRPr="00EB41C8" w:rsidRDefault="003015A3" w:rsidP="003015A3">
      <w:pPr>
        <w:tabs>
          <w:tab w:val="center" w:pos="6480"/>
        </w:tabs>
        <w:spacing w:line="276" w:lineRule="auto"/>
        <w:outlineLvl w:val="0"/>
        <w:rPr>
          <w:rFonts w:eastAsia="Calibri"/>
        </w:rPr>
      </w:pPr>
      <w:r w:rsidRPr="003015A3">
        <w:tab/>
      </w:r>
      <w:r w:rsidR="00320A16" w:rsidRPr="003015A3">
        <w:t>All Online Nursing department faculty</w:t>
      </w:r>
      <w:r w:rsidR="004B7803">
        <w:t xml:space="preserve"> members</w:t>
      </w:r>
      <w:r w:rsidR="00320A16" w:rsidRPr="003015A3">
        <w:t xml:space="preserve"> are required to submit faculty development plans </w:t>
      </w:r>
      <w:r w:rsidR="0013273B" w:rsidRPr="003015A3">
        <w:t xml:space="preserve">to the department </w:t>
      </w:r>
      <w:r w:rsidR="00EB41C8" w:rsidRPr="003015A3">
        <w:t>C</w:t>
      </w:r>
      <w:r w:rsidR="0013273B" w:rsidRPr="003015A3">
        <w:t>hair</w:t>
      </w:r>
      <w:r w:rsidR="00320A16" w:rsidRPr="003015A3">
        <w:t xml:space="preserve"> in the spring semester.   </w:t>
      </w:r>
      <w:r w:rsidR="00EB41C8" w:rsidRPr="003015A3">
        <w:t xml:space="preserve">Faculty development plans </w:t>
      </w:r>
      <w:r w:rsidR="00EB41C8" w:rsidRPr="003015A3">
        <w:rPr>
          <w:rFonts w:eastAsia="Calibri"/>
        </w:rPr>
        <w:t xml:space="preserve">must include outcomes.  </w:t>
      </w:r>
      <w:r w:rsidR="00EB41C8" w:rsidRPr="00EB41C8">
        <w:rPr>
          <w:rFonts w:eastAsia="Calibri"/>
        </w:rPr>
        <w:t>Outcomes are documented annually and new plans developed. Previous year goals and accomplishment of these goals are evaluated and future goals developed by the faculty.</w:t>
      </w:r>
      <w:r w:rsidR="00EB41C8" w:rsidRPr="003015A3">
        <w:rPr>
          <w:rFonts w:eastAsia="Calibri"/>
        </w:rPr>
        <w:t xml:space="preserve"> </w:t>
      </w:r>
      <w:r w:rsidR="00EB41C8" w:rsidRPr="00EB41C8">
        <w:rPr>
          <w:rFonts w:eastAsia="Calibri"/>
        </w:rPr>
        <w:t>Faculty</w:t>
      </w:r>
      <w:r w:rsidR="004B7803">
        <w:rPr>
          <w:rFonts w:eastAsia="Calibri"/>
        </w:rPr>
        <w:t xml:space="preserve"> must</w:t>
      </w:r>
      <w:r w:rsidR="00EB41C8" w:rsidRPr="00EB41C8">
        <w:rPr>
          <w:rFonts w:eastAsia="Calibri"/>
        </w:rPr>
        <w:t xml:space="preserve"> document </w:t>
      </w:r>
      <w:r w:rsidR="004B7803">
        <w:rPr>
          <w:rFonts w:eastAsia="Calibri"/>
        </w:rPr>
        <w:t xml:space="preserve">the </w:t>
      </w:r>
      <w:r w:rsidR="00EB41C8" w:rsidRPr="00EB41C8">
        <w:rPr>
          <w:rFonts w:eastAsia="Calibri"/>
        </w:rPr>
        <w:t>relationships of personal goals to</w:t>
      </w:r>
      <w:r w:rsidR="004B7803">
        <w:rPr>
          <w:rFonts w:eastAsia="Calibri"/>
        </w:rPr>
        <w:t xml:space="preserve"> respective</w:t>
      </w:r>
      <w:r w:rsidR="00EB41C8" w:rsidRPr="00EB41C8">
        <w:rPr>
          <w:rFonts w:eastAsia="Calibri"/>
        </w:rPr>
        <w:t xml:space="preserve"> </w:t>
      </w:r>
      <w:r w:rsidR="004B7803">
        <w:rPr>
          <w:rFonts w:eastAsia="Calibri"/>
        </w:rPr>
        <w:t>departmental</w:t>
      </w:r>
      <w:r w:rsidR="00EB41C8" w:rsidRPr="00EB41C8">
        <w:rPr>
          <w:rFonts w:eastAsia="Calibri"/>
        </w:rPr>
        <w:t xml:space="preserve">, CONAH and University goals. </w:t>
      </w:r>
      <w:r w:rsidR="00EB41C8" w:rsidRPr="003015A3">
        <w:rPr>
          <w:rFonts w:eastAsia="Calibri"/>
        </w:rPr>
        <w:t xml:space="preserve">The Chair </w:t>
      </w:r>
      <w:r w:rsidR="00EB41C8" w:rsidRPr="00EB41C8">
        <w:rPr>
          <w:rFonts w:eastAsia="Calibri"/>
        </w:rPr>
        <w:t xml:space="preserve">reviews </w:t>
      </w:r>
      <w:r w:rsidR="00EB41C8" w:rsidRPr="003015A3">
        <w:rPr>
          <w:rFonts w:eastAsia="Calibri"/>
        </w:rPr>
        <w:t xml:space="preserve">the plan </w:t>
      </w:r>
      <w:r w:rsidRPr="003015A3">
        <w:rPr>
          <w:rFonts w:eastAsia="Calibri"/>
        </w:rPr>
        <w:t>with the faculty member and offers suggestion to those who are seeking tenure and promotion.</w:t>
      </w:r>
      <w:r w:rsidR="00EB41C8" w:rsidRPr="00EB41C8">
        <w:rPr>
          <w:rFonts w:eastAsia="Calibri"/>
        </w:rPr>
        <w:t xml:space="preserve"> </w:t>
      </w:r>
      <w:r w:rsidRPr="003015A3">
        <w:rPr>
          <w:rFonts w:eastAsia="Calibri"/>
        </w:rPr>
        <w:t>The CONAH has recently developed a set of criteria/standards for tenure and promotion for each academic rank.</w:t>
      </w:r>
    </w:p>
    <w:p w:rsidR="00EB41C8" w:rsidRPr="00EB41C8" w:rsidRDefault="00EB41C8" w:rsidP="00EB41C8">
      <w:pPr>
        <w:tabs>
          <w:tab w:val="center" w:pos="6480"/>
        </w:tabs>
        <w:outlineLvl w:val="0"/>
        <w:rPr>
          <w:rFonts w:ascii="Arial" w:eastAsia="Calibri" w:hAnsi="Arial" w:cs="Arial"/>
          <w:sz w:val="20"/>
          <w:szCs w:val="20"/>
        </w:rPr>
      </w:pPr>
    </w:p>
    <w:p w:rsidR="003015A3" w:rsidRDefault="003015A3" w:rsidP="003015A3">
      <w:pPr>
        <w:rPr>
          <w:b/>
        </w:rPr>
      </w:pPr>
      <w:r w:rsidRPr="003015A3">
        <w:rPr>
          <w:b/>
        </w:rPr>
        <w:t>Assess the department as it relates to facilities and resources</w:t>
      </w:r>
    </w:p>
    <w:p w:rsidR="003015A3" w:rsidRDefault="003015A3" w:rsidP="003015A3">
      <w:pPr>
        <w:rPr>
          <w:b/>
        </w:rPr>
      </w:pPr>
    </w:p>
    <w:p w:rsidR="00911587" w:rsidRDefault="003015A3" w:rsidP="004B7803">
      <w:pPr>
        <w:rPr>
          <w:b/>
        </w:rPr>
      </w:pPr>
      <w:r w:rsidRPr="00911587">
        <w:rPr>
          <w:b/>
        </w:rPr>
        <w:t>Library</w:t>
      </w:r>
    </w:p>
    <w:p w:rsidR="00911587" w:rsidRDefault="00911587" w:rsidP="00911587">
      <w:pPr>
        <w:spacing w:line="276" w:lineRule="auto"/>
      </w:pPr>
      <w:r>
        <w:rPr>
          <w:b/>
        </w:rPr>
        <w:tab/>
      </w:r>
      <w:r w:rsidR="004B7803">
        <w:t>UNA’s Collier Library sufficiently meets</w:t>
      </w:r>
      <w:r>
        <w:t xml:space="preserve"> the needs of the Online Nursing Department.  Mrs. Leigh Thompson</w:t>
      </w:r>
      <w:r w:rsidR="004B7803">
        <w:t>, Libr</w:t>
      </w:r>
      <w:r w:rsidR="0040106B">
        <w:t>ar</w:t>
      </w:r>
      <w:r w:rsidR="004B7803">
        <w:t>ian,</w:t>
      </w:r>
      <w:r>
        <w:t xml:space="preserve"> is very accommodating and helpful to our faculty and </w:t>
      </w:r>
      <w:r w:rsidR="004B7803">
        <w:t xml:space="preserve">online </w:t>
      </w:r>
      <w:r>
        <w:t xml:space="preserve">students.  The online databases can be a bit frustrating for new users, however the Library staff is very willing to work with students and faculty in order to create a smooth and uneventful online library experience.  </w:t>
      </w:r>
    </w:p>
    <w:p w:rsidR="00911587" w:rsidRDefault="00911587" w:rsidP="00911587"/>
    <w:p w:rsidR="00381867" w:rsidRDefault="00911587" w:rsidP="00911587">
      <w:pPr>
        <w:rPr>
          <w:b/>
        </w:rPr>
      </w:pPr>
      <w:r w:rsidRPr="00911587">
        <w:rPr>
          <w:b/>
        </w:rPr>
        <w:t>L</w:t>
      </w:r>
      <w:r w:rsidR="003015A3" w:rsidRPr="00911587">
        <w:rPr>
          <w:b/>
        </w:rPr>
        <w:t>aboratories</w:t>
      </w:r>
    </w:p>
    <w:p w:rsidR="00911587" w:rsidRDefault="00911587" w:rsidP="00911587">
      <w:r>
        <w:rPr>
          <w:b/>
        </w:rPr>
        <w:tab/>
      </w:r>
      <w:r w:rsidRPr="00911587">
        <w:t>N/A</w:t>
      </w:r>
    </w:p>
    <w:p w:rsidR="00381867" w:rsidRDefault="00381867" w:rsidP="00911587"/>
    <w:p w:rsidR="003015A3" w:rsidRDefault="003015A3" w:rsidP="00911587">
      <w:pPr>
        <w:rPr>
          <w:b/>
        </w:rPr>
      </w:pPr>
      <w:r w:rsidRPr="00911587">
        <w:rPr>
          <w:b/>
        </w:rPr>
        <w:t>Equipment</w:t>
      </w:r>
    </w:p>
    <w:p w:rsidR="00911587" w:rsidRDefault="00911587" w:rsidP="00381867">
      <w:pPr>
        <w:spacing w:line="276" w:lineRule="auto"/>
        <w:ind w:firstLine="720"/>
      </w:pPr>
      <w:r>
        <w:t>The technology equipment</w:t>
      </w:r>
      <w:r w:rsidR="00BA0241">
        <w:t xml:space="preserve"> provided</w:t>
      </w:r>
      <w:r>
        <w:t xml:space="preserve"> generally meets our needs. All OD faculty have desktop computers, laptops</w:t>
      </w:r>
      <w:r w:rsidR="00B00DDF">
        <w:t xml:space="preserve"> and all-in-one </w:t>
      </w:r>
      <w:r w:rsidR="00B00DDF">
        <w:rPr>
          <w:sz w:val="23"/>
          <w:szCs w:val="23"/>
        </w:rPr>
        <w:t xml:space="preserve">printer/scanner/fax combos.  The more recently purchased HP </w:t>
      </w:r>
      <w:r w:rsidR="0040106B">
        <w:rPr>
          <w:sz w:val="23"/>
          <w:szCs w:val="23"/>
        </w:rPr>
        <w:t>Touch screen</w:t>
      </w:r>
      <w:r w:rsidR="00B00DDF">
        <w:rPr>
          <w:sz w:val="23"/>
          <w:szCs w:val="23"/>
        </w:rPr>
        <w:t xml:space="preserve"> </w:t>
      </w:r>
      <w:r w:rsidR="00BA0241">
        <w:rPr>
          <w:sz w:val="23"/>
          <w:szCs w:val="23"/>
        </w:rPr>
        <w:t xml:space="preserve">desktop </w:t>
      </w:r>
      <w:r w:rsidR="00B00DDF">
        <w:rPr>
          <w:sz w:val="23"/>
          <w:szCs w:val="23"/>
        </w:rPr>
        <w:t>computers do not have a graphic card capable of efficiently</w:t>
      </w:r>
      <w:r w:rsidR="00BA0241">
        <w:rPr>
          <w:sz w:val="23"/>
          <w:szCs w:val="23"/>
        </w:rPr>
        <w:t xml:space="preserve"> running video editing software and is not available from our state contracted vendor.</w:t>
      </w:r>
      <w:r w:rsidR="00B00DDF">
        <w:rPr>
          <w:sz w:val="23"/>
          <w:szCs w:val="23"/>
        </w:rPr>
        <w:t xml:space="preserve">  This is a problem for on</w:t>
      </w:r>
      <w:r w:rsidR="004B7803">
        <w:rPr>
          <w:sz w:val="23"/>
          <w:szCs w:val="23"/>
        </w:rPr>
        <w:t>line faculty who use video editing</w:t>
      </w:r>
      <w:r w:rsidR="00B00DDF">
        <w:rPr>
          <w:sz w:val="23"/>
          <w:szCs w:val="23"/>
        </w:rPr>
        <w:t xml:space="preserve"> software</w:t>
      </w:r>
      <w:r w:rsidR="004B7803">
        <w:rPr>
          <w:sz w:val="23"/>
          <w:szCs w:val="23"/>
        </w:rPr>
        <w:t xml:space="preserve"> to create video clips for their courses</w:t>
      </w:r>
      <w:r w:rsidR="00B00DDF">
        <w:rPr>
          <w:sz w:val="23"/>
          <w:szCs w:val="23"/>
        </w:rPr>
        <w:t>.  Otherwise, equipment is sufficient.</w:t>
      </w:r>
    </w:p>
    <w:p w:rsidR="00911587" w:rsidRPr="00911587" w:rsidRDefault="00911587" w:rsidP="00911587">
      <w:pPr>
        <w:ind w:left="720"/>
      </w:pPr>
    </w:p>
    <w:p w:rsidR="00B00DDF" w:rsidRDefault="00B00DDF" w:rsidP="00381867">
      <w:pPr>
        <w:spacing w:line="276" w:lineRule="auto"/>
      </w:pPr>
      <w:r w:rsidRPr="00B00DDF">
        <w:rPr>
          <w:b/>
        </w:rPr>
        <w:t>S</w:t>
      </w:r>
      <w:r w:rsidR="003015A3" w:rsidRPr="00B00DDF">
        <w:rPr>
          <w:b/>
        </w:rPr>
        <w:t>pace</w:t>
      </w:r>
      <w:r w:rsidR="00BA0241">
        <w:rPr>
          <w:b/>
        </w:rPr>
        <w:br/>
      </w:r>
      <w:r>
        <w:rPr>
          <w:b/>
        </w:rPr>
        <w:tab/>
      </w:r>
      <w:r>
        <w:t xml:space="preserve">Space is an issue.  Our Online Department office space is small and does not have adequate storage space.  </w:t>
      </w:r>
      <w:r w:rsidR="00202C50">
        <w:t xml:space="preserve">Faculty have home offices but need additional on-campus space </w:t>
      </w:r>
      <w:r w:rsidR="004B7803">
        <w:t>to conduct</w:t>
      </w:r>
      <w:r w:rsidR="0000430D">
        <w:t xml:space="preserve"> (face-to-face) </w:t>
      </w:r>
      <w:r w:rsidR="004B7803">
        <w:t xml:space="preserve">student conferences, </w:t>
      </w:r>
      <w:r w:rsidR="0000430D">
        <w:t xml:space="preserve"> </w:t>
      </w:r>
      <w:r w:rsidR="00202C50">
        <w:t>faculty</w:t>
      </w:r>
      <w:r w:rsidR="0000430D">
        <w:t xml:space="preserve"> conferences</w:t>
      </w:r>
      <w:r w:rsidR="00202C50">
        <w:t xml:space="preserve"> and committee meetings.</w:t>
      </w:r>
    </w:p>
    <w:p w:rsidR="00B00DDF" w:rsidRPr="00B00DDF" w:rsidRDefault="00B00DDF" w:rsidP="00381867">
      <w:pPr>
        <w:spacing w:line="276" w:lineRule="auto"/>
      </w:pPr>
    </w:p>
    <w:p w:rsidR="003015A3" w:rsidRDefault="003015A3" w:rsidP="00381867">
      <w:pPr>
        <w:spacing w:line="276" w:lineRule="auto"/>
        <w:rPr>
          <w:b/>
        </w:rPr>
      </w:pPr>
      <w:r w:rsidRPr="00B00DDF">
        <w:rPr>
          <w:b/>
        </w:rPr>
        <w:t>Support personnel</w:t>
      </w:r>
    </w:p>
    <w:p w:rsidR="00DC56F9" w:rsidRDefault="00202C50" w:rsidP="00381867">
      <w:pPr>
        <w:spacing w:line="276" w:lineRule="auto"/>
      </w:pPr>
      <w:r>
        <w:rPr>
          <w:b/>
        </w:rPr>
        <w:tab/>
      </w:r>
      <w:r>
        <w:t>The Online Department has two support personnel</w:t>
      </w:r>
      <w:r w:rsidR="00842CB3">
        <w:t>, a Coordinator of Online Nursing Enrollment and Academic Secretary,</w:t>
      </w:r>
      <w:r>
        <w:t xml:space="preserve"> and a </w:t>
      </w:r>
      <w:r w:rsidR="00842CB3">
        <w:t>work-study student. The Coordinator of Online Nursing Enrollment</w:t>
      </w:r>
      <w:r>
        <w:t xml:space="preserve"> </w:t>
      </w:r>
      <w:r w:rsidR="00842CB3" w:rsidRPr="00842CB3">
        <w:t>is responsible for guiding students through the admission and registration process</w:t>
      </w:r>
      <w:r w:rsidR="00842CB3">
        <w:t xml:space="preserve"> and progression through the program.  </w:t>
      </w:r>
      <w:r w:rsidR="00842CB3" w:rsidRPr="00842CB3">
        <w:t xml:space="preserve">She </w:t>
      </w:r>
      <w:r w:rsidR="00842CB3">
        <w:t>assists with advisement, maintains</w:t>
      </w:r>
      <w:r w:rsidR="00842CB3" w:rsidRPr="00842CB3">
        <w:t xml:space="preserve"> students’ records</w:t>
      </w:r>
      <w:r w:rsidR="00842CB3">
        <w:t xml:space="preserve">, </w:t>
      </w:r>
      <w:r w:rsidR="00842CB3" w:rsidRPr="00842CB3">
        <w:t xml:space="preserve"> and orders and maintains supplies and equipment for online faculty. She also assists </w:t>
      </w:r>
      <w:r w:rsidR="00842CB3" w:rsidRPr="00842CB3">
        <w:lastRenderedPageBreak/>
        <w:t>with recruiting and with disseminating information about the program including, but not limited to, mail-out brochures and electronic mail messages. The academic secretary assists with student records, advisement, correspondence, inquiries, and other duties</w:t>
      </w:r>
      <w:r w:rsidR="00DC56F9">
        <w:t xml:space="preserve"> as assigned by the Coordinator of Online Nursing Enrollment and/or the department chair.</w:t>
      </w:r>
    </w:p>
    <w:p w:rsidR="00842CB3" w:rsidRDefault="00842CB3" w:rsidP="00381867">
      <w:pPr>
        <w:spacing w:line="276" w:lineRule="auto"/>
      </w:pPr>
      <w:r>
        <w:t xml:space="preserve">  </w:t>
      </w:r>
    </w:p>
    <w:p w:rsidR="00202C50" w:rsidRPr="00202C50" w:rsidRDefault="00202C50" w:rsidP="00381867">
      <w:pPr>
        <w:spacing w:line="276" w:lineRule="auto"/>
        <w:ind w:firstLine="720"/>
      </w:pPr>
      <w:r>
        <w:t>The</w:t>
      </w:r>
      <w:r w:rsidR="00DC56F9">
        <w:t xml:space="preserve"> continued</w:t>
      </w:r>
      <w:r w:rsidR="00BA0241">
        <w:t xml:space="preserve"> </w:t>
      </w:r>
      <w:r>
        <w:t>growth of our online</w:t>
      </w:r>
      <w:r w:rsidR="00F128E6">
        <w:t xml:space="preserve"> RN to BSN</w:t>
      </w:r>
      <w:r w:rsidR="00BA0241">
        <w:t xml:space="preserve"> </w:t>
      </w:r>
      <w:r w:rsidR="00F128E6">
        <w:t>and MSN enrollment, along with the addition of a new</w:t>
      </w:r>
      <w:r w:rsidR="00DC56F9">
        <w:t xml:space="preserve"> degree</w:t>
      </w:r>
      <w:r w:rsidR="00F128E6">
        <w:t xml:space="preserve"> option, the RN to MSN Option, has increased </w:t>
      </w:r>
      <w:r w:rsidR="00842CB3">
        <w:t xml:space="preserve">an </w:t>
      </w:r>
      <w:r w:rsidR="00BA0241">
        <w:t xml:space="preserve">already taxing </w:t>
      </w:r>
      <w:r w:rsidR="00F128E6">
        <w:t>workload for support personnel.  The recent approval for a</w:t>
      </w:r>
      <w:r w:rsidR="00BA0241">
        <w:t xml:space="preserve"> Nursing Simulation &amp; Technology </w:t>
      </w:r>
      <w:r w:rsidR="00F128E6">
        <w:t>staff position to be shared with the Traditional department may result in some reduction for the academic secretary</w:t>
      </w:r>
      <w:r w:rsidR="00DC56F9">
        <w:t xml:space="preserve"> who enters</w:t>
      </w:r>
      <w:r w:rsidR="00BA0241">
        <w:t xml:space="preserve"> online nursing students into the eCollege system,</w:t>
      </w:r>
      <w:r w:rsidR="00F128E6">
        <w:t xml:space="preserve"> however, as our </w:t>
      </w:r>
      <w:r w:rsidR="00842CB3">
        <w:t xml:space="preserve">enrollment and program </w:t>
      </w:r>
      <w:r w:rsidR="00F128E6">
        <w:t>growth continues, the effect may be minimal</w:t>
      </w:r>
      <w:r w:rsidR="00BA0241">
        <w:t>, at best.</w:t>
      </w:r>
    </w:p>
    <w:p w:rsidR="003015A3" w:rsidRDefault="003015A3" w:rsidP="003015A3">
      <w:pPr>
        <w:ind w:left="360"/>
      </w:pPr>
    </w:p>
    <w:p w:rsidR="003015A3" w:rsidRDefault="00E65671" w:rsidP="004A1D11">
      <w:pPr>
        <w:rPr>
          <w:b/>
        </w:rPr>
      </w:pPr>
      <w:r w:rsidRPr="00E65671">
        <w:rPr>
          <w:b/>
        </w:rPr>
        <w:t>N</w:t>
      </w:r>
      <w:r w:rsidR="003015A3" w:rsidRPr="00E65671">
        <w:rPr>
          <w:b/>
        </w:rPr>
        <w:t>otable achievements by the department</w:t>
      </w:r>
    </w:p>
    <w:p w:rsidR="003D7A40" w:rsidRPr="008358AD" w:rsidRDefault="003D7A40" w:rsidP="008358AD">
      <w:pPr>
        <w:spacing w:line="276" w:lineRule="auto"/>
        <w:rPr>
          <w:b/>
        </w:rPr>
      </w:pPr>
    </w:p>
    <w:p w:rsidR="00737824" w:rsidRPr="008358AD" w:rsidRDefault="00E65671" w:rsidP="008358AD">
      <w:pPr>
        <w:pStyle w:val="Default"/>
        <w:spacing w:line="276" w:lineRule="auto"/>
        <w:ind w:firstLine="720"/>
      </w:pPr>
      <w:r w:rsidRPr="008358AD">
        <w:t xml:space="preserve">The Online Nursing department was established in the Fall of 2006 </w:t>
      </w:r>
      <w:r w:rsidR="005D0DE8" w:rsidRPr="008358AD">
        <w:t xml:space="preserve">simultaneously with </w:t>
      </w:r>
      <w:r w:rsidRPr="008358AD">
        <w:t xml:space="preserve">our </w:t>
      </w:r>
      <w:r w:rsidR="00B57729" w:rsidRPr="008358AD">
        <w:t xml:space="preserve">long-awaited </w:t>
      </w:r>
      <w:r w:rsidRPr="008358AD">
        <w:t xml:space="preserve">launch of the </w:t>
      </w:r>
      <w:r w:rsidR="00B57729" w:rsidRPr="008358AD">
        <w:t>first graduate degree program</w:t>
      </w:r>
      <w:r w:rsidR="005D0DE8" w:rsidRPr="008358AD">
        <w:t xml:space="preserve"> in the CONAH - </w:t>
      </w:r>
      <w:r w:rsidR="00B57729" w:rsidRPr="008358AD">
        <w:t xml:space="preserve">the </w:t>
      </w:r>
      <w:r w:rsidRPr="008358AD">
        <w:t>MSN online program</w:t>
      </w:r>
      <w:r w:rsidR="00B57729" w:rsidRPr="008358AD">
        <w:t>.  While the creation of the department was</w:t>
      </w:r>
      <w:r w:rsidR="00737824" w:rsidRPr="008358AD">
        <w:t xml:space="preserve"> very </w:t>
      </w:r>
      <w:r w:rsidR="00B57729" w:rsidRPr="008358AD">
        <w:t xml:space="preserve">much needed, </w:t>
      </w:r>
      <w:r w:rsidR="005D0DE8" w:rsidRPr="008358AD">
        <w:t xml:space="preserve">the timing was chaotic as </w:t>
      </w:r>
      <w:r w:rsidR="00B57729" w:rsidRPr="008358AD">
        <w:t>we reorganized the entire College of Nursing</w:t>
      </w:r>
      <w:r w:rsidR="005D0DE8" w:rsidRPr="008358AD">
        <w:t xml:space="preserve">, </w:t>
      </w:r>
      <w:r w:rsidR="00B57729" w:rsidRPr="008358AD">
        <w:t>reassigned duties and responsibilities</w:t>
      </w:r>
      <w:r w:rsidR="005D0DE8" w:rsidRPr="008358AD">
        <w:t>, created new departmental committees, established new rules and regulations, etc</w:t>
      </w:r>
      <w:r w:rsidR="00737824" w:rsidRPr="008358AD">
        <w:t>, AND launched a new graduate program</w:t>
      </w:r>
      <w:r w:rsidR="005D0DE8" w:rsidRPr="008358AD">
        <w:t xml:space="preserve">.  </w:t>
      </w:r>
      <w:r w:rsidR="004E5198" w:rsidRPr="008358AD">
        <w:t>To further complicate matters, w</w:t>
      </w:r>
      <w:r w:rsidR="00B57729" w:rsidRPr="008358AD">
        <w:t>e</w:t>
      </w:r>
      <w:r w:rsidR="00737824" w:rsidRPr="008358AD">
        <w:t xml:space="preserve"> were required by the Alabama Commission on Higher Education to partner with Jacksonville State University (JSU) to avoid “duplication” of course offerings.  This proved to be complicated and required considerable time, travel and continuous dialogue between the universities.  However, we have developed a very good working relationship with JSU’s School of Nursing and despite the many obstacles encountered, successfully implemented the program.  We also initially intended to utilize graduate courses from UNA’s COB and COE,, however, by the Fall of 2009, both the COB and the COE had canceled the designated courses, thus the Online </w:t>
      </w:r>
      <w:r w:rsidR="00805ECE" w:rsidRPr="008358AD">
        <w:t xml:space="preserve">Nursing </w:t>
      </w:r>
      <w:r w:rsidR="00737824" w:rsidRPr="008358AD">
        <w:t>Department was forced to d</w:t>
      </w:r>
      <w:r w:rsidR="00805ECE" w:rsidRPr="008358AD">
        <w:t xml:space="preserve">evelop comparable graduate courses.  This development contributed even more to the amount of faculty overloads in the Online Nursing Department.  </w:t>
      </w:r>
    </w:p>
    <w:p w:rsidR="00805ECE" w:rsidRPr="008358AD" w:rsidRDefault="00805ECE" w:rsidP="008358AD">
      <w:pPr>
        <w:pStyle w:val="Default"/>
        <w:spacing w:line="276" w:lineRule="auto"/>
      </w:pPr>
    </w:p>
    <w:p w:rsidR="0017276D" w:rsidRPr="008358AD" w:rsidRDefault="0017276D" w:rsidP="008358AD">
      <w:pPr>
        <w:pStyle w:val="Default"/>
        <w:spacing w:line="276" w:lineRule="auto"/>
        <w:ind w:firstLine="720"/>
      </w:pPr>
      <w:r w:rsidRPr="008358AD">
        <w:t>A</w:t>
      </w:r>
      <w:r w:rsidR="008358AD">
        <w:t xml:space="preserve">fter receiving frequent inquires from potential students seeking </w:t>
      </w:r>
      <w:r w:rsidRPr="008358AD">
        <w:t>an online RN to MSN option,  we conducted an impromptu survey of  RN to BSN alumni members of our private UNA nursing alumni Facebook group to determine interest in an RN to MSN online option.  Results revealed overwhelming support for such an option. Seventy-nine percent of the 146 participants reported they would have enrolled in the program had it been available to them. Another 17.1% responded “maybe” to the question of interest in enrolling in the program and only 3.4% expressed no interest in the program. These data provided strong support for the CONAH proposal to establish an RN to MSN online option. The proposal ultimately received approval and implementation began in the fall 2009 semester</w:t>
      </w:r>
    </w:p>
    <w:p w:rsidR="0017276D" w:rsidRPr="008358AD" w:rsidRDefault="0017276D" w:rsidP="008358AD">
      <w:pPr>
        <w:pStyle w:val="Default"/>
        <w:spacing w:line="276" w:lineRule="auto"/>
      </w:pPr>
    </w:p>
    <w:p w:rsidR="00381867" w:rsidRDefault="00381867" w:rsidP="008358AD">
      <w:pPr>
        <w:pStyle w:val="Default"/>
        <w:spacing w:line="276" w:lineRule="auto"/>
        <w:ind w:firstLine="720"/>
      </w:pPr>
    </w:p>
    <w:p w:rsidR="00D64EC3" w:rsidRPr="008358AD" w:rsidRDefault="00805ECE" w:rsidP="00381867">
      <w:pPr>
        <w:pStyle w:val="Default"/>
        <w:spacing w:line="360" w:lineRule="auto"/>
        <w:ind w:firstLine="720"/>
      </w:pPr>
      <w:r w:rsidRPr="008358AD">
        <w:lastRenderedPageBreak/>
        <w:t xml:space="preserve">To </w:t>
      </w:r>
      <w:r w:rsidR="00D64EC3" w:rsidRPr="008358AD">
        <w:t xml:space="preserve">summarize major </w:t>
      </w:r>
      <w:r w:rsidR="008A603F" w:rsidRPr="008358AD">
        <w:t>departmental achievements</w:t>
      </w:r>
      <w:r w:rsidR="003D7A40" w:rsidRPr="008358AD">
        <w:t xml:space="preserve"> from 2006-2009 (3 years)</w:t>
      </w:r>
      <w:r w:rsidR="008A603F" w:rsidRPr="008358AD">
        <w:t xml:space="preserve">: </w:t>
      </w:r>
    </w:p>
    <w:p w:rsidR="003D7A40" w:rsidRPr="008358AD" w:rsidRDefault="00E65671" w:rsidP="00381867">
      <w:pPr>
        <w:pStyle w:val="Default"/>
        <w:numPr>
          <w:ilvl w:val="0"/>
          <w:numId w:val="17"/>
        </w:numPr>
        <w:spacing w:line="360" w:lineRule="auto"/>
      </w:pPr>
      <w:r w:rsidRPr="008358AD">
        <w:t xml:space="preserve">the </w:t>
      </w:r>
      <w:r w:rsidR="00805ECE" w:rsidRPr="008358AD">
        <w:t>Online Nursing Department was newly created</w:t>
      </w:r>
    </w:p>
    <w:p w:rsidR="003D7A40" w:rsidRPr="008358AD" w:rsidRDefault="00D64EC3" w:rsidP="00381867">
      <w:pPr>
        <w:pStyle w:val="Default"/>
        <w:numPr>
          <w:ilvl w:val="0"/>
          <w:numId w:val="17"/>
        </w:numPr>
        <w:spacing w:line="360" w:lineRule="auto"/>
      </w:pPr>
      <w:r w:rsidRPr="008358AD">
        <w:t>departmental committees were organized and established</w:t>
      </w:r>
    </w:p>
    <w:p w:rsidR="003D7A40" w:rsidRPr="008358AD" w:rsidRDefault="00805ECE" w:rsidP="00381867">
      <w:pPr>
        <w:pStyle w:val="Default"/>
        <w:numPr>
          <w:ilvl w:val="0"/>
          <w:numId w:val="17"/>
        </w:numPr>
        <w:spacing w:line="360" w:lineRule="auto"/>
      </w:pPr>
      <w:r w:rsidRPr="008358AD">
        <w:t>a partnership with JSU was established</w:t>
      </w:r>
    </w:p>
    <w:p w:rsidR="003D7A40" w:rsidRPr="008358AD" w:rsidRDefault="00805ECE" w:rsidP="00381867">
      <w:pPr>
        <w:pStyle w:val="Default"/>
        <w:numPr>
          <w:ilvl w:val="0"/>
          <w:numId w:val="17"/>
        </w:numPr>
        <w:spacing w:line="360" w:lineRule="auto"/>
      </w:pPr>
      <w:r w:rsidRPr="008358AD">
        <w:t xml:space="preserve">the first graduate nursing degree program </w:t>
      </w:r>
      <w:r w:rsidR="00086D12">
        <w:t xml:space="preserve">at UNA was implemented, offering </w:t>
      </w:r>
      <w:r w:rsidRPr="008358AD">
        <w:t>two tracks (</w:t>
      </w:r>
      <w:r w:rsidR="00D64EC3" w:rsidRPr="008358AD">
        <w:t xml:space="preserve">Education and </w:t>
      </w:r>
      <w:r w:rsidR="00086D12">
        <w:t xml:space="preserve">Leadership) </w:t>
      </w:r>
    </w:p>
    <w:p w:rsidR="00086D12" w:rsidRDefault="00805ECE" w:rsidP="00381867">
      <w:pPr>
        <w:pStyle w:val="Default"/>
        <w:numPr>
          <w:ilvl w:val="0"/>
          <w:numId w:val="17"/>
        </w:numPr>
        <w:spacing w:line="360" w:lineRule="auto"/>
      </w:pPr>
      <w:r w:rsidRPr="008358AD">
        <w:t xml:space="preserve">new </w:t>
      </w:r>
      <w:r w:rsidR="00086D12">
        <w:t xml:space="preserve">undergraduate </w:t>
      </w:r>
      <w:r w:rsidRPr="008358AD">
        <w:t>degree option was developed, approved and i</w:t>
      </w:r>
      <w:r w:rsidR="003D7A40" w:rsidRPr="008358AD">
        <w:t xml:space="preserve">mplemented </w:t>
      </w:r>
    </w:p>
    <w:p w:rsidR="003D7A40" w:rsidRPr="008358AD" w:rsidRDefault="003D7A40" w:rsidP="00086D12">
      <w:pPr>
        <w:pStyle w:val="Default"/>
        <w:spacing w:line="360" w:lineRule="auto"/>
        <w:ind w:left="1152"/>
      </w:pPr>
      <w:r w:rsidRPr="008358AD">
        <w:t xml:space="preserve">(RN to MSN option). </w:t>
      </w:r>
    </w:p>
    <w:p w:rsidR="00D64EC3" w:rsidRDefault="00805ECE" w:rsidP="00381867">
      <w:pPr>
        <w:pStyle w:val="Default"/>
        <w:numPr>
          <w:ilvl w:val="0"/>
          <w:numId w:val="17"/>
        </w:numPr>
        <w:spacing w:line="360" w:lineRule="auto"/>
      </w:pPr>
      <w:r w:rsidRPr="008358AD">
        <w:t>two</w:t>
      </w:r>
      <w:r w:rsidR="00E65671" w:rsidRPr="008358AD">
        <w:t xml:space="preserve"> new </w:t>
      </w:r>
      <w:r w:rsidRPr="008358AD">
        <w:t xml:space="preserve">graduate </w:t>
      </w:r>
      <w:r w:rsidR="00E65671" w:rsidRPr="008358AD">
        <w:t xml:space="preserve">courses </w:t>
      </w:r>
      <w:r w:rsidR="00D64EC3" w:rsidRPr="008358AD">
        <w:t>were developed</w:t>
      </w:r>
      <w:r w:rsidR="004273BD" w:rsidRPr="008358AD">
        <w:t xml:space="preserve"> and</w:t>
      </w:r>
      <w:r w:rsidR="00D64EC3" w:rsidRPr="008358AD">
        <w:t xml:space="preserve"> </w:t>
      </w:r>
      <w:r w:rsidRPr="008358AD">
        <w:t xml:space="preserve">designed </w:t>
      </w:r>
      <w:r w:rsidR="00D64EC3" w:rsidRPr="008358AD">
        <w:t xml:space="preserve">to address the same concepts </w:t>
      </w:r>
      <w:r w:rsidR="00086D12">
        <w:t xml:space="preserve">as in the </w:t>
      </w:r>
      <w:r w:rsidR="008B205A" w:rsidRPr="008358AD">
        <w:t>courses</w:t>
      </w:r>
      <w:r w:rsidR="00086D12">
        <w:t xml:space="preserve"> by the COB and COE</w:t>
      </w:r>
      <w:r w:rsidR="00D64EC3" w:rsidRPr="008358AD">
        <w:t xml:space="preserve">, but </w:t>
      </w:r>
      <w:r w:rsidR="008B205A" w:rsidRPr="008358AD">
        <w:t>applied to health care environment settings</w:t>
      </w:r>
    </w:p>
    <w:p w:rsidR="00381867" w:rsidRPr="008358AD" w:rsidRDefault="00381867" w:rsidP="00381867">
      <w:pPr>
        <w:pStyle w:val="Default"/>
        <w:numPr>
          <w:ilvl w:val="0"/>
          <w:numId w:val="17"/>
        </w:numPr>
        <w:spacing w:line="360" w:lineRule="auto"/>
      </w:pPr>
      <w:r>
        <w:t>Course retention improved</w:t>
      </w:r>
    </w:p>
    <w:p w:rsidR="003D7A40" w:rsidRPr="008358AD" w:rsidRDefault="0040106B" w:rsidP="00381867">
      <w:pPr>
        <w:pStyle w:val="Default"/>
        <w:numPr>
          <w:ilvl w:val="0"/>
          <w:numId w:val="17"/>
        </w:numPr>
        <w:spacing w:line="360" w:lineRule="auto"/>
      </w:pPr>
      <w:r>
        <w:t xml:space="preserve">overall </w:t>
      </w:r>
      <w:r w:rsidR="003D7A40" w:rsidRPr="008358AD">
        <w:t>growth continued</w:t>
      </w:r>
    </w:p>
    <w:p w:rsidR="00D64EC3" w:rsidRPr="008358AD" w:rsidRDefault="00D64EC3" w:rsidP="008358AD">
      <w:pPr>
        <w:pStyle w:val="Default"/>
        <w:spacing w:line="276" w:lineRule="auto"/>
      </w:pPr>
    </w:p>
    <w:p w:rsidR="00E65671" w:rsidRDefault="00D64EC3" w:rsidP="00381867">
      <w:pPr>
        <w:pStyle w:val="Default"/>
        <w:spacing w:line="276" w:lineRule="auto"/>
        <w:ind w:firstLine="720"/>
      </w:pPr>
      <w:r w:rsidRPr="008358AD">
        <w:t>T</w:t>
      </w:r>
      <w:r w:rsidR="008B205A" w:rsidRPr="008358AD">
        <w:t>he O</w:t>
      </w:r>
      <w:r w:rsidRPr="008358AD">
        <w:t>nline Nursing department now has</w:t>
      </w:r>
      <w:r w:rsidR="008B205A" w:rsidRPr="008358AD">
        <w:t xml:space="preserve"> three degree options: RN to BSN, RN to MSN, and MSN (Education or Leadership).  All</w:t>
      </w:r>
      <w:r w:rsidRPr="008358AD">
        <w:t xml:space="preserve"> programs are completely online and help to remove the obstacles of time</w:t>
      </w:r>
      <w:r w:rsidR="00086D12">
        <w:t xml:space="preserve">, place and </w:t>
      </w:r>
      <w:r w:rsidRPr="008358AD">
        <w:t>travel so that working Registered Nurses can advance their education.</w:t>
      </w:r>
    </w:p>
    <w:p w:rsidR="00086D12" w:rsidRPr="008358AD" w:rsidRDefault="00086D12" w:rsidP="00381867">
      <w:pPr>
        <w:pStyle w:val="Default"/>
        <w:spacing w:line="276" w:lineRule="auto"/>
        <w:ind w:firstLine="720"/>
      </w:pPr>
    </w:p>
    <w:p w:rsidR="004A1D11" w:rsidRDefault="004A1D11" w:rsidP="00381867">
      <w:pPr>
        <w:pStyle w:val="Default"/>
        <w:spacing w:line="276" w:lineRule="auto"/>
        <w:rPr>
          <w:b/>
          <w:sz w:val="23"/>
          <w:szCs w:val="23"/>
        </w:rPr>
      </w:pPr>
      <w:r>
        <w:rPr>
          <w:b/>
          <w:sz w:val="23"/>
          <w:szCs w:val="23"/>
        </w:rPr>
        <w:t>Student Achievements</w:t>
      </w:r>
    </w:p>
    <w:p w:rsidR="004A1D11" w:rsidRDefault="004A1D11" w:rsidP="00381867">
      <w:pPr>
        <w:pStyle w:val="Default"/>
        <w:spacing w:line="276" w:lineRule="auto"/>
        <w:rPr>
          <w:b/>
          <w:sz w:val="23"/>
          <w:szCs w:val="23"/>
        </w:rPr>
      </w:pPr>
    </w:p>
    <w:p w:rsidR="003D7A40" w:rsidRDefault="004A1D11" w:rsidP="00381867">
      <w:pPr>
        <w:pStyle w:val="Default"/>
        <w:spacing w:line="276" w:lineRule="auto"/>
        <w:rPr>
          <w:sz w:val="23"/>
          <w:szCs w:val="23"/>
        </w:rPr>
      </w:pPr>
      <w:r>
        <w:rPr>
          <w:b/>
          <w:sz w:val="23"/>
          <w:szCs w:val="23"/>
        </w:rPr>
        <w:tab/>
      </w:r>
      <w:r>
        <w:rPr>
          <w:sz w:val="23"/>
          <w:szCs w:val="23"/>
        </w:rPr>
        <w:t>The most recent survey of RN to BSN graduates</w:t>
      </w:r>
      <w:r w:rsidR="001622B3">
        <w:rPr>
          <w:sz w:val="23"/>
          <w:szCs w:val="23"/>
        </w:rPr>
        <w:t xml:space="preserve"> (2010)</w:t>
      </w:r>
      <w:r w:rsidR="00A56CBA">
        <w:rPr>
          <w:sz w:val="23"/>
          <w:szCs w:val="23"/>
        </w:rPr>
        <w:t xml:space="preserve"> revealed</w:t>
      </w:r>
      <w:r>
        <w:rPr>
          <w:sz w:val="23"/>
          <w:szCs w:val="23"/>
        </w:rPr>
        <w:t>:</w:t>
      </w:r>
    </w:p>
    <w:p w:rsidR="003D7A40" w:rsidRDefault="004A1D11" w:rsidP="00381867">
      <w:pPr>
        <w:pStyle w:val="Default"/>
        <w:numPr>
          <w:ilvl w:val="0"/>
          <w:numId w:val="29"/>
        </w:numPr>
        <w:spacing w:line="276" w:lineRule="auto"/>
        <w:ind w:left="1170"/>
        <w:rPr>
          <w:sz w:val="22"/>
          <w:szCs w:val="22"/>
        </w:rPr>
      </w:pPr>
      <w:r w:rsidRPr="003D7A40">
        <w:rPr>
          <w:sz w:val="22"/>
          <w:szCs w:val="22"/>
        </w:rPr>
        <w:t>32% currently attend graduate school</w:t>
      </w:r>
    </w:p>
    <w:p w:rsidR="003D7A40" w:rsidRDefault="004A1D11" w:rsidP="00381867">
      <w:pPr>
        <w:pStyle w:val="Default"/>
        <w:numPr>
          <w:ilvl w:val="0"/>
          <w:numId w:val="29"/>
        </w:numPr>
        <w:spacing w:line="276" w:lineRule="auto"/>
        <w:ind w:left="1170"/>
        <w:rPr>
          <w:sz w:val="22"/>
          <w:szCs w:val="22"/>
        </w:rPr>
      </w:pPr>
      <w:r w:rsidRPr="003D7A40">
        <w:rPr>
          <w:sz w:val="22"/>
          <w:szCs w:val="22"/>
        </w:rPr>
        <w:t xml:space="preserve">14% </w:t>
      </w:r>
      <w:r w:rsidR="00A56CBA">
        <w:rPr>
          <w:sz w:val="22"/>
          <w:szCs w:val="22"/>
        </w:rPr>
        <w:t xml:space="preserve">had attained </w:t>
      </w:r>
      <w:r w:rsidRPr="003D7A40">
        <w:rPr>
          <w:sz w:val="22"/>
          <w:szCs w:val="22"/>
        </w:rPr>
        <w:t xml:space="preserve">the MSN degree  </w:t>
      </w:r>
    </w:p>
    <w:p w:rsidR="003D7A40" w:rsidRDefault="004A1D11" w:rsidP="00381867">
      <w:pPr>
        <w:pStyle w:val="Default"/>
        <w:numPr>
          <w:ilvl w:val="0"/>
          <w:numId w:val="29"/>
        </w:numPr>
        <w:spacing w:line="276" w:lineRule="auto"/>
        <w:ind w:left="1170"/>
        <w:rPr>
          <w:sz w:val="22"/>
          <w:szCs w:val="22"/>
        </w:rPr>
      </w:pPr>
      <w:r w:rsidRPr="003D7A40">
        <w:rPr>
          <w:sz w:val="22"/>
          <w:szCs w:val="22"/>
        </w:rPr>
        <w:t xml:space="preserve">46% plan to enroll in graduate school in the next three years </w:t>
      </w:r>
    </w:p>
    <w:p w:rsidR="004A1D11" w:rsidRPr="003D7A40" w:rsidRDefault="004A1D11" w:rsidP="00381867">
      <w:pPr>
        <w:pStyle w:val="Default"/>
        <w:numPr>
          <w:ilvl w:val="0"/>
          <w:numId w:val="29"/>
        </w:numPr>
        <w:spacing w:line="276" w:lineRule="auto"/>
        <w:ind w:left="1170"/>
        <w:rPr>
          <w:sz w:val="22"/>
          <w:szCs w:val="22"/>
        </w:rPr>
      </w:pPr>
      <w:r w:rsidRPr="003D7A40">
        <w:rPr>
          <w:rFonts w:eastAsia="Times New Roman"/>
          <w:color w:val="auto"/>
          <w:sz w:val="22"/>
          <w:szCs w:val="22"/>
        </w:rPr>
        <w:t>27% hold national certification in various professional areas</w:t>
      </w:r>
    </w:p>
    <w:p w:rsidR="000D4C59" w:rsidRDefault="000D4C59"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F05E17" w:rsidRDefault="00F05E17" w:rsidP="00381867">
      <w:pPr>
        <w:pStyle w:val="Default"/>
        <w:spacing w:line="276" w:lineRule="auto"/>
        <w:rPr>
          <w:b/>
          <w:sz w:val="23"/>
          <w:szCs w:val="23"/>
        </w:rPr>
      </w:pPr>
    </w:p>
    <w:p w:rsidR="004A1D11" w:rsidRDefault="000D4C59" w:rsidP="00381867">
      <w:pPr>
        <w:pStyle w:val="Default"/>
        <w:spacing w:line="276" w:lineRule="auto"/>
        <w:rPr>
          <w:b/>
          <w:sz w:val="23"/>
          <w:szCs w:val="23"/>
        </w:rPr>
      </w:pPr>
      <w:r>
        <w:rPr>
          <w:b/>
          <w:sz w:val="23"/>
          <w:szCs w:val="23"/>
        </w:rPr>
        <w:lastRenderedPageBreak/>
        <w:t>Grants and other funds generated</w:t>
      </w:r>
    </w:p>
    <w:p w:rsidR="000C2A62" w:rsidRDefault="000C2A62" w:rsidP="00381867">
      <w:pPr>
        <w:pStyle w:val="Default"/>
        <w:spacing w:line="276" w:lineRule="auto"/>
        <w:rPr>
          <w:b/>
          <w:sz w:val="23"/>
          <w:szCs w:val="23"/>
        </w:rPr>
      </w:pPr>
    </w:p>
    <w:p w:rsidR="000C2A62" w:rsidRDefault="000C2A62" w:rsidP="00381867">
      <w:pPr>
        <w:pStyle w:val="Default"/>
        <w:spacing w:line="276" w:lineRule="auto"/>
        <w:rPr>
          <w:sz w:val="23"/>
          <w:szCs w:val="23"/>
        </w:rPr>
      </w:pPr>
      <w:r>
        <w:rPr>
          <w:b/>
          <w:sz w:val="23"/>
          <w:szCs w:val="23"/>
        </w:rPr>
        <w:tab/>
      </w:r>
      <w:r w:rsidRPr="000C2A62">
        <w:rPr>
          <w:sz w:val="23"/>
          <w:szCs w:val="23"/>
        </w:rPr>
        <w:t>In light</w:t>
      </w:r>
      <w:r>
        <w:rPr>
          <w:sz w:val="23"/>
          <w:szCs w:val="23"/>
        </w:rPr>
        <w:t xml:space="preserve"> of the significant reorganizational changes and the implementation of new programs, no faculty have submitted grant proposals that would directly impact the department.  Dr. Lynn Aquadro did receive funding of two grants to benefit the CONAH managed Community Health Clinic that is staffed by CONAH nurse practitioners.  Two of the three NP’s are also online nursing faculty: Dr. Lynn Aquadro and Mrs. Charlotte Cramer.</w:t>
      </w:r>
    </w:p>
    <w:p w:rsidR="000C2A62" w:rsidRDefault="000C2A62" w:rsidP="00381867">
      <w:pPr>
        <w:pStyle w:val="Default"/>
        <w:spacing w:line="276" w:lineRule="auto"/>
        <w:rPr>
          <w:sz w:val="23"/>
          <w:szCs w:val="23"/>
        </w:rPr>
      </w:pPr>
    </w:p>
    <w:p w:rsidR="00F05E17" w:rsidRDefault="00F05E17" w:rsidP="00381867">
      <w:pPr>
        <w:pStyle w:val="Default"/>
        <w:spacing w:line="276" w:lineRule="auto"/>
        <w:rPr>
          <w:sz w:val="23"/>
          <w:szCs w:val="23"/>
        </w:rPr>
      </w:pPr>
    </w:p>
    <w:p w:rsidR="00943FE2" w:rsidRDefault="000C2A62" w:rsidP="00381867">
      <w:pPr>
        <w:pStyle w:val="Default"/>
        <w:spacing w:line="276" w:lineRule="auto"/>
        <w:rPr>
          <w:sz w:val="23"/>
          <w:szCs w:val="23"/>
        </w:rPr>
      </w:pPr>
      <w:r>
        <w:rPr>
          <w:sz w:val="23"/>
          <w:szCs w:val="23"/>
        </w:rPr>
        <w:t>The Online Department does generate funds throu</w:t>
      </w:r>
      <w:r w:rsidR="00943FE2">
        <w:rPr>
          <w:sz w:val="23"/>
          <w:szCs w:val="23"/>
        </w:rPr>
        <w:t>gh the eCollege course enrollment student fees.  These funds are used to:</w:t>
      </w:r>
    </w:p>
    <w:p w:rsidR="00943FE2" w:rsidRPr="00943FE2" w:rsidRDefault="00943FE2" w:rsidP="00381867">
      <w:pPr>
        <w:pStyle w:val="Default"/>
        <w:numPr>
          <w:ilvl w:val="0"/>
          <w:numId w:val="26"/>
        </w:numPr>
        <w:spacing w:line="276" w:lineRule="auto"/>
        <w:ind w:left="1170" w:hanging="297"/>
        <w:rPr>
          <w:b/>
          <w:sz w:val="23"/>
          <w:szCs w:val="23"/>
        </w:rPr>
      </w:pPr>
      <w:r>
        <w:rPr>
          <w:sz w:val="23"/>
          <w:szCs w:val="23"/>
        </w:rPr>
        <w:t>ensure a stable</w:t>
      </w:r>
      <w:r w:rsidR="00D5625D">
        <w:rPr>
          <w:sz w:val="23"/>
          <w:szCs w:val="23"/>
        </w:rPr>
        <w:t xml:space="preserve">, reliable online platform </w:t>
      </w:r>
      <w:r>
        <w:rPr>
          <w:sz w:val="23"/>
          <w:szCs w:val="23"/>
        </w:rPr>
        <w:t xml:space="preserve">is accessible 24/7, 365 days per year.   </w:t>
      </w:r>
    </w:p>
    <w:p w:rsidR="00943FE2" w:rsidRPr="00943FE2" w:rsidRDefault="00943FE2" w:rsidP="00381867">
      <w:pPr>
        <w:pStyle w:val="Default"/>
        <w:numPr>
          <w:ilvl w:val="0"/>
          <w:numId w:val="26"/>
        </w:numPr>
        <w:spacing w:line="276" w:lineRule="auto"/>
        <w:ind w:left="1170" w:hanging="297"/>
        <w:rPr>
          <w:b/>
          <w:sz w:val="23"/>
          <w:szCs w:val="23"/>
        </w:rPr>
      </w:pPr>
      <w:r>
        <w:rPr>
          <w:sz w:val="23"/>
          <w:szCs w:val="23"/>
        </w:rPr>
        <w:t>provide a Help Desk 24/7 via phone, email or Live Chat.  F</w:t>
      </w:r>
    </w:p>
    <w:p w:rsidR="00943FE2" w:rsidRPr="00D5625D" w:rsidRDefault="00943FE2" w:rsidP="00381867">
      <w:pPr>
        <w:pStyle w:val="Default"/>
        <w:numPr>
          <w:ilvl w:val="0"/>
          <w:numId w:val="26"/>
        </w:numPr>
        <w:spacing w:line="276" w:lineRule="auto"/>
        <w:ind w:left="1170" w:hanging="297"/>
        <w:rPr>
          <w:b/>
          <w:sz w:val="23"/>
          <w:szCs w:val="23"/>
        </w:rPr>
      </w:pPr>
      <w:r>
        <w:rPr>
          <w:sz w:val="23"/>
          <w:szCs w:val="23"/>
        </w:rPr>
        <w:t>provide iSupport (instructional support) for faculty in regards to course development and multimedia</w:t>
      </w:r>
    </w:p>
    <w:p w:rsidR="00D5625D" w:rsidRPr="00943FE2" w:rsidRDefault="00D5625D" w:rsidP="00381867">
      <w:pPr>
        <w:pStyle w:val="Default"/>
        <w:numPr>
          <w:ilvl w:val="0"/>
          <w:numId w:val="26"/>
        </w:numPr>
        <w:spacing w:line="276" w:lineRule="auto"/>
        <w:ind w:left="1170" w:hanging="297"/>
        <w:rPr>
          <w:b/>
          <w:sz w:val="23"/>
          <w:szCs w:val="23"/>
        </w:rPr>
      </w:pPr>
      <w:r>
        <w:rPr>
          <w:sz w:val="23"/>
          <w:szCs w:val="23"/>
        </w:rPr>
        <w:t>ensure previous student course work, faculty records and course content is accessible and safely and securely archived for future reference</w:t>
      </w:r>
    </w:p>
    <w:p w:rsidR="000D4C59" w:rsidRPr="00943FE2" w:rsidRDefault="00D5625D" w:rsidP="00381867">
      <w:pPr>
        <w:pStyle w:val="Default"/>
        <w:numPr>
          <w:ilvl w:val="0"/>
          <w:numId w:val="26"/>
        </w:numPr>
        <w:spacing w:line="276" w:lineRule="auto"/>
        <w:ind w:left="1170" w:hanging="297"/>
        <w:rPr>
          <w:b/>
          <w:sz w:val="23"/>
          <w:szCs w:val="23"/>
        </w:rPr>
      </w:pPr>
      <w:r>
        <w:rPr>
          <w:sz w:val="23"/>
          <w:szCs w:val="23"/>
        </w:rPr>
        <w:t>supply all equipment</w:t>
      </w:r>
      <w:r w:rsidR="00943FE2">
        <w:rPr>
          <w:sz w:val="23"/>
          <w:szCs w:val="23"/>
        </w:rPr>
        <w:t xml:space="preserve"> and specific software needs of faculty</w:t>
      </w:r>
    </w:p>
    <w:p w:rsidR="00943FE2" w:rsidRPr="00943FE2" w:rsidRDefault="00943FE2" w:rsidP="00381867">
      <w:pPr>
        <w:pStyle w:val="Default"/>
        <w:numPr>
          <w:ilvl w:val="0"/>
          <w:numId w:val="26"/>
        </w:numPr>
        <w:spacing w:line="276" w:lineRule="auto"/>
        <w:ind w:left="1170" w:hanging="297"/>
        <w:rPr>
          <w:b/>
          <w:sz w:val="23"/>
          <w:szCs w:val="23"/>
        </w:rPr>
      </w:pPr>
      <w:r>
        <w:rPr>
          <w:sz w:val="23"/>
          <w:szCs w:val="23"/>
        </w:rPr>
        <w:t xml:space="preserve">provide </w:t>
      </w:r>
      <w:r w:rsidR="00D5625D">
        <w:rPr>
          <w:sz w:val="23"/>
          <w:szCs w:val="23"/>
        </w:rPr>
        <w:t xml:space="preserve">$9,000 annually for </w:t>
      </w:r>
      <w:r>
        <w:rPr>
          <w:sz w:val="23"/>
          <w:szCs w:val="23"/>
        </w:rPr>
        <w:t>scholarships to both undergraduate and graduate students</w:t>
      </w:r>
    </w:p>
    <w:p w:rsidR="00943FE2" w:rsidRPr="00943FE2" w:rsidRDefault="00943FE2" w:rsidP="00381867">
      <w:pPr>
        <w:pStyle w:val="Default"/>
        <w:numPr>
          <w:ilvl w:val="0"/>
          <w:numId w:val="26"/>
        </w:numPr>
        <w:spacing w:line="276" w:lineRule="auto"/>
        <w:ind w:left="1170" w:hanging="297"/>
        <w:rPr>
          <w:b/>
          <w:sz w:val="23"/>
          <w:szCs w:val="23"/>
        </w:rPr>
      </w:pPr>
      <w:r>
        <w:rPr>
          <w:sz w:val="23"/>
          <w:szCs w:val="23"/>
        </w:rPr>
        <w:t>supplement salaries of the academic secretary and the newly proposed simulation/technology staff position</w:t>
      </w:r>
    </w:p>
    <w:p w:rsidR="00943FE2" w:rsidRPr="00943FE2" w:rsidRDefault="00D5625D" w:rsidP="00381867">
      <w:pPr>
        <w:pStyle w:val="Default"/>
        <w:numPr>
          <w:ilvl w:val="0"/>
          <w:numId w:val="26"/>
        </w:numPr>
        <w:spacing w:line="276" w:lineRule="auto"/>
        <w:ind w:left="1170" w:hanging="297"/>
        <w:rPr>
          <w:b/>
          <w:sz w:val="23"/>
          <w:szCs w:val="23"/>
        </w:rPr>
      </w:pPr>
      <w:r>
        <w:rPr>
          <w:sz w:val="23"/>
          <w:szCs w:val="23"/>
        </w:rPr>
        <w:t xml:space="preserve">fund the </w:t>
      </w:r>
      <w:r w:rsidR="00943FE2">
        <w:rPr>
          <w:sz w:val="23"/>
          <w:szCs w:val="23"/>
        </w:rPr>
        <w:t xml:space="preserve">faculty mentoring </w:t>
      </w:r>
      <w:r>
        <w:rPr>
          <w:sz w:val="23"/>
          <w:szCs w:val="23"/>
        </w:rPr>
        <w:t xml:space="preserve">program regarding </w:t>
      </w:r>
      <w:r w:rsidR="00943FE2">
        <w:rPr>
          <w:sz w:val="23"/>
          <w:szCs w:val="23"/>
        </w:rPr>
        <w:t>online course development</w:t>
      </w:r>
    </w:p>
    <w:p w:rsidR="00943FE2" w:rsidRDefault="00943FE2" w:rsidP="00381867">
      <w:pPr>
        <w:pStyle w:val="Default"/>
        <w:numPr>
          <w:ilvl w:val="0"/>
          <w:numId w:val="26"/>
        </w:numPr>
        <w:spacing w:line="276" w:lineRule="auto"/>
        <w:ind w:left="1170" w:hanging="297"/>
        <w:rPr>
          <w:b/>
          <w:sz w:val="23"/>
          <w:szCs w:val="23"/>
        </w:rPr>
      </w:pPr>
      <w:r>
        <w:rPr>
          <w:sz w:val="23"/>
          <w:szCs w:val="23"/>
        </w:rPr>
        <w:t>supplement faculty development in regards to technology</w:t>
      </w:r>
    </w:p>
    <w:p w:rsidR="000D4C59" w:rsidRDefault="000D4C59" w:rsidP="003D7A40">
      <w:pPr>
        <w:pStyle w:val="Default"/>
        <w:rPr>
          <w:b/>
          <w:sz w:val="23"/>
          <w:szCs w:val="23"/>
        </w:rPr>
      </w:pPr>
    </w:p>
    <w:p w:rsidR="004A1D11" w:rsidRDefault="000D4C59" w:rsidP="00381867">
      <w:pPr>
        <w:pStyle w:val="Default"/>
        <w:spacing w:line="276" w:lineRule="auto"/>
        <w:rPr>
          <w:b/>
          <w:sz w:val="23"/>
          <w:szCs w:val="23"/>
        </w:rPr>
      </w:pPr>
      <w:r>
        <w:rPr>
          <w:b/>
          <w:sz w:val="23"/>
          <w:szCs w:val="23"/>
        </w:rPr>
        <w:t>Other awards and distinctions.</w:t>
      </w:r>
    </w:p>
    <w:p w:rsidR="000D4C59" w:rsidRDefault="000D4C59" w:rsidP="00381867">
      <w:pPr>
        <w:pStyle w:val="Default"/>
        <w:spacing w:line="276" w:lineRule="auto"/>
        <w:rPr>
          <w:b/>
          <w:sz w:val="23"/>
          <w:szCs w:val="23"/>
        </w:rPr>
      </w:pPr>
    </w:p>
    <w:p w:rsidR="00D5625D" w:rsidRDefault="000D4C59" w:rsidP="00381867">
      <w:pPr>
        <w:spacing w:line="276" w:lineRule="auto"/>
        <w:ind w:firstLine="360"/>
      </w:pPr>
      <w:r>
        <w:rPr>
          <w:b/>
          <w:sz w:val="23"/>
          <w:szCs w:val="23"/>
        </w:rPr>
        <w:tab/>
      </w:r>
      <w:r w:rsidR="001622B3">
        <w:t>OD faculty are locally and nationally recognized for their teaching effectiveness.</w:t>
      </w:r>
    </w:p>
    <w:p w:rsidR="00D5625D" w:rsidRDefault="001622B3" w:rsidP="00381867">
      <w:pPr>
        <w:pStyle w:val="ListParagraph"/>
        <w:numPr>
          <w:ilvl w:val="0"/>
          <w:numId w:val="31"/>
        </w:numPr>
        <w:spacing w:line="276" w:lineRule="auto"/>
      </w:pPr>
      <w:r>
        <w:t xml:space="preserve">Dr. Wanda Bradford received the </w:t>
      </w:r>
      <w:r w:rsidRPr="00D5625D">
        <w:rPr>
          <w:i/>
        </w:rPr>
        <w:t>VPAAP Outstanding Teacher Award</w:t>
      </w:r>
      <w:r>
        <w:t xml:space="preserve"> in 2006 and was </w:t>
      </w:r>
      <w:r w:rsidR="00730B2F">
        <w:t xml:space="preserve">also </w:t>
      </w:r>
      <w:r>
        <w:t xml:space="preserve">named </w:t>
      </w:r>
      <w:r w:rsidRPr="00D5625D">
        <w:rPr>
          <w:i/>
        </w:rPr>
        <w:t>Outstanding Teacher</w:t>
      </w:r>
      <w:r>
        <w:t xml:space="preserve"> in the College of Nursing an</w:t>
      </w:r>
      <w:r w:rsidR="00730B2F">
        <w:t>d Allied Health.</w:t>
      </w:r>
    </w:p>
    <w:p w:rsidR="00D5625D" w:rsidRDefault="001622B3" w:rsidP="00381867">
      <w:pPr>
        <w:pStyle w:val="ListParagraph"/>
        <w:numPr>
          <w:ilvl w:val="0"/>
          <w:numId w:val="31"/>
        </w:numPr>
        <w:spacing w:line="276" w:lineRule="auto"/>
      </w:pPr>
      <w:r>
        <w:t xml:space="preserve">Mrs. Charlotte Cramer received the </w:t>
      </w:r>
      <w:r w:rsidRPr="00D5625D">
        <w:rPr>
          <w:i/>
        </w:rPr>
        <w:t>VPAAP Outstanding Teacher Award</w:t>
      </w:r>
      <w:r>
        <w:t xml:space="preserve"> in 2007.  </w:t>
      </w:r>
    </w:p>
    <w:p w:rsidR="001622B3" w:rsidRDefault="001622B3" w:rsidP="00381867">
      <w:pPr>
        <w:pStyle w:val="ListParagraph"/>
        <w:numPr>
          <w:ilvl w:val="0"/>
          <w:numId w:val="31"/>
        </w:numPr>
        <w:spacing w:line="276" w:lineRule="auto"/>
      </w:pPr>
      <w:r>
        <w:t xml:space="preserve">In 2008, Mrs. Cathy Malone was selected from a nationwide pool of nominees for the </w:t>
      </w:r>
      <w:r w:rsidRPr="00D5625D">
        <w:rPr>
          <w:i/>
        </w:rPr>
        <w:t>Excellence in Online Teaching</w:t>
      </w:r>
      <w:r>
        <w:t xml:space="preserve"> award</w:t>
      </w:r>
      <w:r w:rsidR="00D5625D">
        <w:t xml:space="preserve"> presented by Pearson/eCollege at the CITE conference in Denver, CO.</w:t>
      </w:r>
      <w:r>
        <w:t xml:space="preserve"> </w:t>
      </w:r>
    </w:p>
    <w:p w:rsidR="000D4C59" w:rsidRDefault="000D4C59" w:rsidP="00381867">
      <w:pPr>
        <w:pStyle w:val="Default"/>
        <w:spacing w:line="276" w:lineRule="auto"/>
        <w:rPr>
          <w:b/>
          <w:sz w:val="23"/>
          <w:szCs w:val="23"/>
        </w:rPr>
      </w:pPr>
    </w:p>
    <w:p w:rsidR="0074782B" w:rsidRDefault="0074782B" w:rsidP="00381867">
      <w:pPr>
        <w:pStyle w:val="Default"/>
        <w:spacing w:line="276" w:lineRule="auto"/>
        <w:rPr>
          <w:b/>
          <w:sz w:val="23"/>
          <w:szCs w:val="23"/>
        </w:rPr>
      </w:pPr>
      <w:r>
        <w:rPr>
          <w:b/>
          <w:sz w:val="23"/>
          <w:szCs w:val="23"/>
        </w:rPr>
        <w:t>Response to previous program review recommendation</w:t>
      </w:r>
    </w:p>
    <w:p w:rsidR="00F05E17" w:rsidRDefault="00F05E17" w:rsidP="00381867">
      <w:pPr>
        <w:pStyle w:val="Default"/>
        <w:spacing w:line="276" w:lineRule="auto"/>
        <w:ind w:firstLine="720"/>
        <w:rPr>
          <w:sz w:val="23"/>
          <w:szCs w:val="23"/>
        </w:rPr>
      </w:pPr>
    </w:p>
    <w:p w:rsidR="0074782B" w:rsidRDefault="001622B3" w:rsidP="00381867">
      <w:pPr>
        <w:pStyle w:val="Default"/>
        <w:spacing w:line="276" w:lineRule="auto"/>
        <w:ind w:firstLine="720"/>
        <w:rPr>
          <w:sz w:val="23"/>
          <w:szCs w:val="23"/>
        </w:rPr>
      </w:pPr>
      <w:r w:rsidRPr="001622B3">
        <w:rPr>
          <w:sz w:val="23"/>
          <w:szCs w:val="23"/>
        </w:rPr>
        <w:t>N/A</w:t>
      </w:r>
      <w:r>
        <w:rPr>
          <w:sz w:val="23"/>
          <w:szCs w:val="23"/>
        </w:rPr>
        <w:t xml:space="preserve"> (This is our first departmental review).</w:t>
      </w:r>
    </w:p>
    <w:p w:rsidR="00F05E17" w:rsidRPr="001622B3" w:rsidRDefault="00F05E17" w:rsidP="00381867">
      <w:pPr>
        <w:pStyle w:val="Default"/>
        <w:spacing w:line="276" w:lineRule="auto"/>
        <w:ind w:firstLine="720"/>
        <w:rPr>
          <w:sz w:val="23"/>
          <w:szCs w:val="23"/>
        </w:rPr>
      </w:pPr>
    </w:p>
    <w:p w:rsidR="00F05E17" w:rsidRDefault="00F05E17" w:rsidP="00381867">
      <w:pPr>
        <w:spacing w:line="276" w:lineRule="auto"/>
        <w:rPr>
          <w:b/>
        </w:rPr>
      </w:pPr>
    </w:p>
    <w:p w:rsidR="00F05E17" w:rsidRDefault="00F05E17" w:rsidP="00381867">
      <w:pPr>
        <w:spacing w:line="276" w:lineRule="auto"/>
        <w:rPr>
          <w:b/>
        </w:rPr>
      </w:pPr>
    </w:p>
    <w:p w:rsidR="00F05E17" w:rsidRDefault="00F05E17" w:rsidP="00381867">
      <w:pPr>
        <w:spacing w:line="276" w:lineRule="auto"/>
        <w:rPr>
          <w:b/>
        </w:rPr>
      </w:pPr>
    </w:p>
    <w:p w:rsidR="003015A3" w:rsidRPr="00EA46C3" w:rsidRDefault="003015A3" w:rsidP="00381867">
      <w:pPr>
        <w:spacing w:line="276" w:lineRule="auto"/>
        <w:rPr>
          <w:b/>
        </w:rPr>
      </w:pPr>
      <w:r w:rsidRPr="00EA46C3">
        <w:rPr>
          <w:b/>
        </w:rPr>
        <w:lastRenderedPageBreak/>
        <w:t>State the vision and plans for the future of the department</w:t>
      </w:r>
    </w:p>
    <w:p w:rsidR="00EC5F48" w:rsidRDefault="003015A3" w:rsidP="00381867">
      <w:pPr>
        <w:spacing w:line="276" w:lineRule="auto"/>
        <w:ind w:left="720"/>
      </w:pPr>
      <w:r>
        <w:t>Provide a vision statement of where the department would like to be in five years; assuming only costs to continue, with no additional state resources</w:t>
      </w:r>
    </w:p>
    <w:p w:rsidR="00086D12" w:rsidRDefault="00086D12" w:rsidP="00381867">
      <w:pPr>
        <w:spacing w:line="276" w:lineRule="auto"/>
        <w:ind w:left="720"/>
      </w:pPr>
    </w:p>
    <w:p w:rsidR="00D5625D" w:rsidRDefault="00EC5F48" w:rsidP="00381867">
      <w:pPr>
        <w:spacing w:line="276" w:lineRule="auto"/>
        <w:ind w:left="720"/>
      </w:pPr>
      <w:r>
        <w:t>In consideration of the financial limitations above, the department’s vision</w:t>
      </w:r>
      <w:r w:rsidR="00D5625D">
        <w:t xml:space="preserve"> is:</w:t>
      </w:r>
    </w:p>
    <w:p w:rsidR="00EC5F48" w:rsidRDefault="0040106B" w:rsidP="00730B2F">
      <w:pPr>
        <w:spacing w:line="276" w:lineRule="auto"/>
        <w:ind w:left="720"/>
      </w:pPr>
      <w:r>
        <w:t xml:space="preserve">To maintain our current </w:t>
      </w:r>
      <w:r w:rsidR="00212DBE">
        <w:t>programs and become established as the overall best online nursing education program in regards to costs, qualit</w:t>
      </w:r>
      <w:r>
        <w:t>y, faculty and student support</w:t>
      </w:r>
      <w:r w:rsidR="00212DBE">
        <w:t xml:space="preserve">. </w:t>
      </w:r>
    </w:p>
    <w:p w:rsidR="00EC5F48" w:rsidRDefault="00EC5F48" w:rsidP="00381867">
      <w:pPr>
        <w:pStyle w:val="ListParagraph"/>
        <w:spacing w:line="276" w:lineRule="auto"/>
      </w:pPr>
    </w:p>
    <w:p w:rsidR="00730B2F" w:rsidRDefault="003015A3" w:rsidP="00381867">
      <w:pPr>
        <w:spacing w:line="276" w:lineRule="auto"/>
        <w:ind w:left="720"/>
      </w:pPr>
      <w:r>
        <w:t>Provide a vision statement of where the department would like to be in five years, if additional state resources are available</w:t>
      </w:r>
      <w:r w:rsidR="00730B2F">
        <w:t>.</w:t>
      </w:r>
    </w:p>
    <w:p w:rsidR="003015A3" w:rsidRDefault="003015A3" w:rsidP="00381867">
      <w:pPr>
        <w:spacing w:line="276" w:lineRule="auto"/>
        <w:ind w:left="720"/>
      </w:pPr>
      <w:r>
        <w:t xml:space="preserve">  </w:t>
      </w:r>
    </w:p>
    <w:p w:rsidR="00212DBE" w:rsidRDefault="0040106B" w:rsidP="00730B2F">
      <w:pPr>
        <w:spacing w:line="276" w:lineRule="auto"/>
        <w:ind w:left="720"/>
      </w:pPr>
      <w:r>
        <w:t xml:space="preserve">To </w:t>
      </w:r>
      <w:r w:rsidR="00212DBE">
        <w:t xml:space="preserve">grow </w:t>
      </w:r>
      <w:r w:rsidR="007D41FB">
        <w:t xml:space="preserve">our enrollments, </w:t>
      </w:r>
      <w:r>
        <w:t xml:space="preserve">expand </w:t>
      </w:r>
      <w:r w:rsidR="007D41FB">
        <w:t>our offerings</w:t>
      </w:r>
      <w:r w:rsidR="00212DBE">
        <w:t xml:space="preserve"> and become established as the overall best online nursing education program in regards to costs, degree offerings, certification offerings, quality, facu</w:t>
      </w:r>
      <w:r>
        <w:t>lty and student support</w:t>
      </w:r>
      <w:r w:rsidR="00212DBE">
        <w:t xml:space="preserve">. </w:t>
      </w:r>
    </w:p>
    <w:p w:rsidR="00F05E17" w:rsidRDefault="00F05E17" w:rsidP="00EA46C3">
      <w:pPr>
        <w:rPr>
          <w:b/>
        </w:rPr>
      </w:pPr>
    </w:p>
    <w:p w:rsidR="003015A3" w:rsidRPr="00EA46C3" w:rsidRDefault="003015A3" w:rsidP="00EA46C3">
      <w:pPr>
        <w:rPr>
          <w:b/>
        </w:rPr>
      </w:pPr>
      <w:r w:rsidRPr="00EA46C3">
        <w:rPr>
          <w:b/>
        </w:rPr>
        <w:t>Program Overview</w:t>
      </w:r>
    </w:p>
    <w:p w:rsidR="003015A3" w:rsidRDefault="003015A3" w:rsidP="003015A3">
      <w:pPr>
        <w:ind w:left="720"/>
      </w:pPr>
    </w:p>
    <w:p w:rsidR="003015A3" w:rsidRPr="00EA46C3" w:rsidRDefault="003015A3" w:rsidP="00F05E17">
      <w:pPr>
        <w:spacing w:line="360" w:lineRule="auto"/>
        <w:ind w:firstLine="450"/>
        <w:rPr>
          <w:b/>
        </w:rPr>
      </w:pPr>
      <w:r w:rsidRPr="00EA46C3">
        <w:rPr>
          <w:b/>
        </w:rPr>
        <w:t>Brief overview of program</w:t>
      </w:r>
    </w:p>
    <w:p w:rsidR="0000430D" w:rsidRDefault="0000430D" w:rsidP="00F05E17">
      <w:pPr>
        <w:spacing w:line="360" w:lineRule="auto"/>
      </w:pPr>
    </w:p>
    <w:p w:rsidR="0000430D" w:rsidRDefault="0000430D" w:rsidP="00F05E17">
      <w:pPr>
        <w:spacing w:after="200" w:line="360" w:lineRule="auto"/>
        <w:ind w:firstLine="450"/>
        <w:contextualSpacing/>
      </w:pPr>
      <w:r>
        <w:rPr>
          <w:rFonts w:eastAsiaTheme="minorHAnsi"/>
        </w:rPr>
        <w:t>The Online Nursing Department (OD) was established in August, 2006, however the Online Nursing program began in January of 2001 with two faculty members and 44 students.  By Fall of 2001, we added another faculty member and continued to add faculty and support personnel relative to enrollment growth and by Spring 202,</w:t>
      </w:r>
      <w:r w:rsidR="00810855">
        <w:rPr>
          <w:rFonts w:eastAsiaTheme="minorHAnsi"/>
        </w:rPr>
        <w:t xml:space="preserve"> at 104 students, </w:t>
      </w:r>
      <w:r>
        <w:rPr>
          <w:rFonts w:eastAsiaTheme="minorHAnsi"/>
        </w:rPr>
        <w:t xml:space="preserve"> we had more than doubled our enrollment</w:t>
      </w:r>
      <w:r w:rsidR="00810855">
        <w:rPr>
          <w:rFonts w:eastAsiaTheme="minorHAnsi"/>
        </w:rPr>
        <w:t xml:space="preserve"> within 12 months.  By </w:t>
      </w:r>
      <w:r w:rsidR="00C25F2B">
        <w:rPr>
          <w:rFonts w:eastAsiaTheme="minorHAnsi"/>
        </w:rPr>
        <w:t>200</w:t>
      </w:r>
      <w:r w:rsidR="00810855">
        <w:rPr>
          <w:rFonts w:eastAsiaTheme="minorHAnsi"/>
        </w:rPr>
        <w:t xml:space="preserve">6, </w:t>
      </w:r>
      <w:r>
        <w:rPr>
          <w:rFonts w:eastAsiaTheme="minorHAnsi"/>
        </w:rPr>
        <w:t xml:space="preserve"> The </w:t>
      </w:r>
      <w:r w:rsidR="00810855">
        <w:rPr>
          <w:rFonts w:eastAsiaTheme="minorHAnsi"/>
        </w:rPr>
        <w:t xml:space="preserve">exponential </w:t>
      </w:r>
      <w:r>
        <w:rPr>
          <w:rFonts w:eastAsiaTheme="minorHAnsi"/>
        </w:rPr>
        <w:t>enrollment growth warranted a division of the College of Nursing and Allie</w:t>
      </w:r>
      <w:r w:rsidR="00EA46C3">
        <w:rPr>
          <w:rFonts w:eastAsiaTheme="minorHAnsi"/>
        </w:rPr>
        <w:t xml:space="preserve">d Health into two departments: </w:t>
      </w:r>
      <w:r>
        <w:rPr>
          <w:rFonts w:eastAsiaTheme="minorHAnsi"/>
        </w:rPr>
        <w:t>Online Nurs</w:t>
      </w:r>
      <w:r w:rsidR="00810855">
        <w:rPr>
          <w:rFonts w:eastAsiaTheme="minorHAnsi"/>
        </w:rPr>
        <w:t xml:space="preserve">ing and Traditional Nursing.  </w:t>
      </w:r>
    </w:p>
    <w:p w:rsidR="0000430D" w:rsidRDefault="0000430D" w:rsidP="00F05E17">
      <w:pPr>
        <w:spacing w:line="360" w:lineRule="auto"/>
      </w:pPr>
    </w:p>
    <w:p w:rsidR="003015A3" w:rsidRDefault="003015A3" w:rsidP="00F05E17">
      <w:pPr>
        <w:spacing w:line="360" w:lineRule="auto"/>
        <w:rPr>
          <w:b/>
        </w:rPr>
      </w:pPr>
      <w:r w:rsidRPr="00C25F2B">
        <w:rPr>
          <w:b/>
        </w:rPr>
        <w:t>Mission statement for the program:  Reference its relationship to college and institutional mission, as well as state priorities where appropriate</w:t>
      </w:r>
    </w:p>
    <w:p w:rsidR="00C25F2B" w:rsidRDefault="00C25F2B" w:rsidP="00F05E17">
      <w:pPr>
        <w:spacing w:line="360" w:lineRule="auto"/>
        <w:ind w:left="720"/>
        <w:rPr>
          <w:b/>
        </w:rPr>
      </w:pPr>
    </w:p>
    <w:p w:rsidR="00C25F2B" w:rsidRPr="00C25F2B" w:rsidRDefault="00C25F2B" w:rsidP="00F05E17">
      <w:pPr>
        <w:spacing w:line="360" w:lineRule="auto"/>
        <w:ind w:firstLine="540"/>
      </w:pPr>
      <w:r>
        <w:t>At this juncture in time, the departments in the CONAH do not have separate mission statements.  Despite prolonged discussions regarding this need, the “separation anxiety” experienced by some faculty members, prevent them from recognizing/understanding the need for departmental mission statements.  We welcome advice</w:t>
      </w:r>
      <w:r w:rsidR="007D41FB">
        <w:t xml:space="preserve"> on this issue.</w:t>
      </w:r>
    </w:p>
    <w:p w:rsidR="00C25F2B" w:rsidRDefault="00C25F2B" w:rsidP="00C25F2B">
      <w:pPr>
        <w:ind w:left="720"/>
        <w:rPr>
          <w:b/>
        </w:rPr>
      </w:pPr>
    </w:p>
    <w:p w:rsidR="00F05E17" w:rsidRDefault="00F05E17" w:rsidP="00381867">
      <w:pPr>
        <w:spacing w:line="276" w:lineRule="auto"/>
        <w:rPr>
          <w:b/>
        </w:rPr>
      </w:pPr>
    </w:p>
    <w:p w:rsidR="003015A3" w:rsidRDefault="003015A3" w:rsidP="00381867">
      <w:pPr>
        <w:spacing w:line="276" w:lineRule="auto"/>
        <w:rPr>
          <w:b/>
        </w:rPr>
      </w:pPr>
      <w:r w:rsidRPr="00C25F2B">
        <w:rPr>
          <w:b/>
        </w:rPr>
        <w:lastRenderedPageBreak/>
        <w:t>Goals and objectives of the program relative to teaching, research and public service, and assessment of program performance in relation to them</w:t>
      </w:r>
    </w:p>
    <w:p w:rsidR="00381867" w:rsidRDefault="00381867" w:rsidP="00381867">
      <w:pPr>
        <w:rPr>
          <w:b/>
        </w:rPr>
      </w:pPr>
    </w:p>
    <w:p w:rsidR="003015A3" w:rsidRPr="007D41FB" w:rsidRDefault="003015A3" w:rsidP="00381867">
      <w:pPr>
        <w:rPr>
          <w:b/>
          <w:sz w:val="22"/>
        </w:rPr>
      </w:pPr>
      <w:r w:rsidRPr="007D41FB">
        <w:rPr>
          <w:b/>
          <w:sz w:val="22"/>
        </w:rPr>
        <w:t>Student Learning Outcomes of the program</w:t>
      </w:r>
    </w:p>
    <w:tbl>
      <w:tblPr>
        <w:tblpPr w:leftFromText="180" w:rightFromText="180" w:vertAnchor="text" w:tblpXSpec="center" w:tblpY="1"/>
        <w:tblOverlap w:val="never"/>
        <w:tblW w:w="0" w:type="auto"/>
        <w:tblCellSpacing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379"/>
        <w:gridCol w:w="3524"/>
        <w:gridCol w:w="3729"/>
      </w:tblGrid>
      <w:tr w:rsidR="005316E4" w:rsidRPr="00255EC2" w:rsidTr="005316E4">
        <w:trPr>
          <w:trHeight w:val="530"/>
          <w:tblCellSpacing w:w="7" w:type="dxa"/>
        </w:trPr>
        <w:tc>
          <w:tcPr>
            <w:tcW w:w="2358" w:type="dxa"/>
            <w:tcBorders>
              <w:top w:val="single" w:sz="4" w:space="0" w:color="000000"/>
              <w:left w:val="single" w:sz="4" w:space="0" w:color="000000"/>
              <w:bottom w:val="single" w:sz="4" w:space="0" w:color="000000"/>
              <w:right w:val="single" w:sz="4" w:space="0" w:color="000000"/>
            </w:tcBorders>
            <w:vAlign w:val="bottom"/>
          </w:tcPr>
          <w:p w:rsidR="007D41FB" w:rsidRPr="007D41FB" w:rsidRDefault="007D41FB" w:rsidP="005316E4">
            <w:pPr>
              <w:ind w:left="450" w:hanging="450"/>
              <w:rPr>
                <w:rFonts w:ascii="Arial" w:hAnsi="Arial" w:cs="Arial"/>
                <w:b/>
                <w:color w:val="000000" w:themeColor="text1"/>
                <w:sz w:val="20"/>
              </w:rPr>
            </w:pPr>
            <w:r w:rsidRPr="007D41FB">
              <w:rPr>
                <w:rFonts w:ascii="Arial" w:hAnsi="Arial" w:cs="Arial"/>
                <w:b/>
                <w:color w:val="000000" w:themeColor="text1"/>
                <w:sz w:val="20"/>
                <w:szCs w:val="22"/>
              </w:rPr>
              <w:t>Online Nursing</w:t>
            </w:r>
          </w:p>
          <w:p w:rsidR="007D41FB" w:rsidRPr="007D41FB" w:rsidRDefault="007D41FB" w:rsidP="005316E4">
            <w:pPr>
              <w:ind w:left="450" w:hanging="450"/>
              <w:rPr>
                <w:rFonts w:ascii="Arial" w:hAnsi="Arial" w:cs="Arial"/>
                <w:b/>
                <w:color w:val="000000" w:themeColor="text1"/>
                <w:sz w:val="20"/>
              </w:rPr>
            </w:pPr>
            <w:r w:rsidRPr="007D41FB">
              <w:rPr>
                <w:rFonts w:ascii="Arial" w:hAnsi="Arial" w:cs="Arial"/>
                <w:b/>
                <w:color w:val="000000" w:themeColor="text1"/>
                <w:sz w:val="20"/>
                <w:szCs w:val="22"/>
              </w:rPr>
              <w:t>Department goals</w:t>
            </w:r>
          </w:p>
        </w:tc>
        <w:tc>
          <w:tcPr>
            <w:tcW w:w="3510" w:type="dxa"/>
            <w:tcBorders>
              <w:top w:val="single" w:sz="4" w:space="0" w:color="000000"/>
              <w:left w:val="single" w:sz="4" w:space="0" w:color="000000"/>
              <w:bottom w:val="single" w:sz="4" w:space="0" w:color="000000"/>
              <w:right w:val="single" w:sz="4" w:space="0" w:color="000000"/>
            </w:tcBorders>
            <w:vAlign w:val="center"/>
          </w:tcPr>
          <w:p w:rsidR="007D41FB" w:rsidRPr="007D41FB" w:rsidRDefault="007D41FB" w:rsidP="005316E4">
            <w:pPr>
              <w:jc w:val="center"/>
              <w:rPr>
                <w:rFonts w:ascii="Arial" w:hAnsi="Arial" w:cs="Arial"/>
                <w:b/>
                <w:sz w:val="20"/>
              </w:rPr>
            </w:pPr>
            <w:r w:rsidRPr="007D41FB">
              <w:rPr>
                <w:rFonts w:ascii="Arial" w:hAnsi="Arial" w:cs="Arial"/>
                <w:b/>
                <w:sz w:val="20"/>
                <w:szCs w:val="22"/>
              </w:rPr>
              <w:t>Student Outcomes</w:t>
            </w:r>
          </w:p>
        </w:tc>
        <w:tc>
          <w:tcPr>
            <w:tcW w:w="3708" w:type="dxa"/>
            <w:tcBorders>
              <w:top w:val="single" w:sz="4" w:space="0" w:color="000000"/>
              <w:left w:val="single" w:sz="4" w:space="0" w:color="000000"/>
              <w:bottom w:val="single" w:sz="4" w:space="0" w:color="000000"/>
              <w:right w:val="single" w:sz="4" w:space="0" w:color="000000"/>
            </w:tcBorders>
            <w:vAlign w:val="bottom"/>
          </w:tcPr>
          <w:p w:rsidR="007D41FB" w:rsidRPr="007D41FB" w:rsidRDefault="007D41FB" w:rsidP="005316E4">
            <w:pPr>
              <w:spacing w:after="200"/>
              <w:jc w:val="center"/>
              <w:rPr>
                <w:rFonts w:ascii="Arial" w:hAnsi="Arial" w:cs="Arial"/>
                <w:b/>
                <w:sz w:val="20"/>
              </w:rPr>
            </w:pPr>
            <w:r w:rsidRPr="007D41FB">
              <w:rPr>
                <w:rFonts w:ascii="Arial" w:hAnsi="Arial" w:cs="Arial"/>
                <w:b/>
                <w:sz w:val="20"/>
                <w:szCs w:val="22"/>
              </w:rPr>
              <w:t>Strategies to</w:t>
            </w:r>
            <w:r w:rsidR="0060134F">
              <w:rPr>
                <w:rFonts w:ascii="Arial" w:hAnsi="Arial" w:cs="Arial"/>
                <w:b/>
                <w:sz w:val="20"/>
                <w:szCs w:val="22"/>
              </w:rPr>
              <w:t xml:space="preserve"> </w:t>
            </w:r>
            <w:r w:rsidRPr="007D41FB">
              <w:rPr>
                <w:rFonts w:ascii="Arial" w:hAnsi="Arial" w:cs="Arial"/>
                <w:b/>
                <w:sz w:val="20"/>
                <w:szCs w:val="22"/>
              </w:rPr>
              <w:t>Achieve Outcomes</w:t>
            </w:r>
          </w:p>
        </w:tc>
      </w:tr>
      <w:tr w:rsidR="008358AD" w:rsidRPr="00255EC2" w:rsidTr="005316E4">
        <w:trPr>
          <w:trHeight w:val="11115"/>
          <w:tblCellSpacing w:w="7" w:type="dxa"/>
        </w:trPr>
        <w:tc>
          <w:tcPr>
            <w:tcW w:w="2358" w:type="dxa"/>
            <w:tcBorders>
              <w:bottom w:val="single" w:sz="4" w:space="0" w:color="auto"/>
            </w:tcBorders>
          </w:tcPr>
          <w:p w:rsidR="008358AD" w:rsidRPr="008358AD" w:rsidRDefault="008358AD" w:rsidP="005316E4">
            <w:pPr>
              <w:numPr>
                <w:ilvl w:val="0"/>
                <w:numId w:val="34"/>
              </w:numPr>
              <w:ind w:left="270" w:hanging="270"/>
              <w:rPr>
                <w:rFonts w:ascii="Arial" w:hAnsi="Arial" w:cs="Arial"/>
                <w:b/>
                <w:color w:val="000000" w:themeColor="text1"/>
                <w:sz w:val="20"/>
              </w:rPr>
            </w:pPr>
            <w:r w:rsidRPr="008358AD">
              <w:rPr>
                <w:rFonts w:ascii="Arial" w:hAnsi="Arial" w:cs="Arial"/>
                <w:b/>
                <w:color w:val="000000" w:themeColor="text1"/>
                <w:sz w:val="20"/>
                <w:szCs w:val="22"/>
              </w:rPr>
              <w:t>Offer high quality online BSN and MSN nursing degree programs</w:t>
            </w:r>
          </w:p>
          <w:p w:rsidR="008358AD" w:rsidRPr="008358AD" w:rsidRDefault="008358AD" w:rsidP="005316E4">
            <w:pPr>
              <w:ind w:left="270" w:hanging="270"/>
              <w:rPr>
                <w:rFonts w:ascii="Arial" w:hAnsi="Arial" w:cs="Arial"/>
                <w:b/>
                <w:color w:val="000000" w:themeColor="text1"/>
                <w:sz w:val="20"/>
              </w:rPr>
            </w:pPr>
          </w:p>
          <w:p w:rsidR="008358AD" w:rsidRPr="008358AD" w:rsidRDefault="008358AD" w:rsidP="005316E4">
            <w:pPr>
              <w:numPr>
                <w:ilvl w:val="0"/>
                <w:numId w:val="34"/>
              </w:numPr>
              <w:ind w:left="270" w:hanging="270"/>
              <w:rPr>
                <w:rFonts w:ascii="Arial" w:hAnsi="Arial" w:cs="Arial"/>
                <w:b/>
                <w:color w:val="000000" w:themeColor="text1"/>
                <w:sz w:val="20"/>
              </w:rPr>
            </w:pPr>
            <w:r w:rsidRPr="008358AD">
              <w:rPr>
                <w:rFonts w:ascii="Arial" w:hAnsi="Arial" w:cs="Arial"/>
                <w:b/>
                <w:color w:val="000000" w:themeColor="text1"/>
                <w:sz w:val="20"/>
                <w:szCs w:val="22"/>
              </w:rPr>
              <w:t>Graduate nurses who are prepared to practice nursing in global healthcare environments</w:t>
            </w:r>
          </w:p>
          <w:p w:rsidR="008358AD" w:rsidRPr="008358AD" w:rsidRDefault="008358AD" w:rsidP="005316E4">
            <w:pPr>
              <w:pStyle w:val="ListParagraph"/>
              <w:ind w:left="270" w:hanging="270"/>
              <w:rPr>
                <w:rFonts w:ascii="Arial" w:hAnsi="Arial" w:cs="Arial"/>
                <w:b/>
                <w:color w:val="000000" w:themeColor="text1"/>
                <w:sz w:val="20"/>
              </w:rPr>
            </w:pPr>
          </w:p>
          <w:p w:rsidR="008358AD" w:rsidRPr="008358AD" w:rsidRDefault="008358AD" w:rsidP="005316E4">
            <w:pPr>
              <w:numPr>
                <w:ilvl w:val="0"/>
                <w:numId w:val="34"/>
              </w:numPr>
              <w:ind w:left="270" w:hanging="270"/>
              <w:rPr>
                <w:rFonts w:ascii="Arial" w:hAnsi="Arial" w:cs="Arial"/>
                <w:b/>
                <w:color w:val="000000" w:themeColor="text1"/>
                <w:sz w:val="20"/>
              </w:rPr>
            </w:pPr>
            <w:r w:rsidRPr="008358AD">
              <w:rPr>
                <w:rFonts w:ascii="Arial" w:hAnsi="Arial" w:cs="Arial"/>
                <w:b/>
                <w:color w:val="000000" w:themeColor="text1"/>
                <w:sz w:val="20"/>
                <w:szCs w:val="22"/>
              </w:rPr>
              <w:t>Promote a culturally diverse learning environment designed to eliminate barriers to learning</w:t>
            </w:r>
          </w:p>
          <w:p w:rsidR="008358AD" w:rsidRPr="008358AD" w:rsidRDefault="008358AD" w:rsidP="005316E4">
            <w:pPr>
              <w:pStyle w:val="ListParagraph"/>
              <w:ind w:left="270" w:hanging="270"/>
              <w:rPr>
                <w:rFonts w:ascii="Arial" w:hAnsi="Arial" w:cs="Arial"/>
                <w:b/>
                <w:color w:val="000000" w:themeColor="text1"/>
                <w:sz w:val="20"/>
              </w:rPr>
            </w:pPr>
          </w:p>
          <w:p w:rsidR="008358AD" w:rsidRPr="008358AD" w:rsidRDefault="008358AD" w:rsidP="005316E4">
            <w:pPr>
              <w:numPr>
                <w:ilvl w:val="0"/>
                <w:numId w:val="34"/>
              </w:numPr>
              <w:ind w:left="270" w:hanging="270"/>
              <w:rPr>
                <w:rFonts w:ascii="Arial" w:hAnsi="Arial" w:cs="Arial"/>
                <w:b/>
                <w:color w:val="000000" w:themeColor="text1"/>
                <w:sz w:val="20"/>
              </w:rPr>
            </w:pPr>
            <w:r w:rsidRPr="008358AD">
              <w:rPr>
                <w:rFonts w:ascii="Arial" w:hAnsi="Arial" w:cs="Arial"/>
                <w:b/>
                <w:color w:val="000000" w:themeColor="text1"/>
                <w:sz w:val="20"/>
                <w:szCs w:val="22"/>
              </w:rPr>
              <w:t>Develop and nurture a strong relationship with community health facilities and health professionals</w:t>
            </w:r>
          </w:p>
          <w:p w:rsidR="008358AD" w:rsidRPr="008358AD" w:rsidRDefault="008358AD" w:rsidP="005316E4">
            <w:pPr>
              <w:pStyle w:val="ListParagraph"/>
              <w:ind w:left="270" w:hanging="270"/>
              <w:rPr>
                <w:rFonts w:ascii="Arial" w:hAnsi="Arial" w:cs="Arial"/>
                <w:b/>
                <w:color w:val="000000" w:themeColor="text1"/>
                <w:sz w:val="20"/>
              </w:rPr>
            </w:pPr>
          </w:p>
          <w:p w:rsidR="008358AD" w:rsidRPr="008358AD" w:rsidRDefault="008358AD" w:rsidP="005316E4">
            <w:pPr>
              <w:numPr>
                <w:ilvl w:val="0"/>
                <w:numId w:val="34"/>
              </w:numPr>
              <w:ind w:left="270" w:hanging="270"/>
              <w:rPr>
                <w:rFonts w:ascii="Arial" w:hAnsi="Arial" w:cs="Arial"/>
                <w:b/>
                <w:sz w:val="20"/>
              </w:rPr>
            </w:pPr>
            <w:r w:rsidRPr="008358AD">
              <w:rPr>
                <w:rFonts w:ascii="Arial" w:hAnsi="Arial" w:cs="Arial"/>
                <w:b/>
                <w:color w:val="000000" w:themeColor="text1"/>
                <w:sz w:val="20"/>
                <w:szCs w:val="22"/>
              </w:rPr>
              <w:t>Foster scholarly activities, research, teaching, services, and practice that advance the knowledge base of nursing</w:t>
            </w:r>
          </w:p>
        </w:tc>
        <w:tc>
          <w:tcPr>
            <w:tcW w:w="3510" w:type="dxa"/>
            <w:tcBorders>
              <w:bottom w:val="single" w:sz="4" w:space="0" w:color="auto"/>
            </w:tcBorders>
          </w:tcPr>
          <w:p w:rsidR="008358AD" w:rsidRPr="008358AD" w:rsidRDefault="008358AD" w:rsidP="005316E4">
            <w:pPr>
              <w:rPr>
                <w:rFonts w:ascii="Arial" w:hAnsi="Arial" w:cs="Arial"/>
                <w:b/>
                <w:sz w:val="20"/>
              </w:rPr>
            </w:pPr>
            <w:r w:rsidRPr="008358AD">
              <w:rPr>
                <w:rFonts w:ascii="Arial" w:hAnsi="Arial" w:cs="Arial"/>
                <w:b/>
                <w:sz w:val="20"/>
                <w:szCs w:val="22"/>
              </w:rPr>
              <w:t>Graduates of the RN to BSN  baccalaureate program in nursing will:</w:t>
            </w:r>
          </w:p>
          <w:p w:rsidR="008358AD" w:rsidRDefault="008358AD" w:rsidP="005316E4">
            <w:pPr>
              <w:pStyle w:val="ListParagraph"/>
              <w:numPr>
                <w:ilvl w:val="0"/>
                <w:numId w:val="33"/>
              </w:numPr>
              <w:spacing w:after="200"/>
              <w:ind w:left="318" w:hanging="270"/>
              <w:rPr>
                <w:rFonts w:ascii="Arial" w:hAnsi="Arial" w:cs="Arial"/>
                <w:b/>
                <w:sz w:val="20"/>
              </w:rPr>
            </w:pPr>
            <w:r w:rsidRPr="008358AD">
              <w:rPr>
                <w:rFonts w:ascii="Arial" w:hAnsi="Arial" w:cs="Arial"/>
                <w:b/>
                <w:sz w:val="20"/>
                <w:szCs w:val="22"/>
              </w:rPr>
              <w:t>Function in professional nursing roles</w:t>
            </w:r>
          </w:p>
          <w:p w:rsidR="0060134F" w:rsidRPr="008358AD" w:rsidRDefault="0060134F" w:rsidP="005316E4">
            <w:pPr>
              <w:pStyle w:val="ListParagraph"/>
              <w:spacing w:after="200"/>
              <w:ind w:left="318"/>
              <w:rPr>
                <w:rFonts w:ascii="Arial" w:hAnsi="Arial" w:cs="Arial"/>
                <w:b/>
                <w:sz w:val="20"/>
              </w:rPr>
            </w:pPr>
          </w:p>
          <w:p w:rsidR="008358AD" w:rsidRDefault="008358AD" w:rsidP="005316E4">
            <w:pPr>
              <w:pStyle w:val="ListParagraph"/>
              <w:numPr>
                <w:ilvl w:val="0"/>
                <w:numId w:val="33"/>
              </w:numPr>
              <w:spacing w:after="200"/>
              <w:ind w:left="318" w:hanging="270"/>
              <w:rPr>
                <w:rFonts w:ascii="Arial" w:hAnsi="Arial" w:cs="Arial"/>
                <w:b/>
                <w:sz w:val="20"/>
              </w:rPr>
            </w:pPr>
            <w:r w:rsidRPr="008358AD">
              <w:rPr>
                <w:rFonts w:ascii="Arial" w:hAnsi="Arial" w:cs="Arial"/>
                <w:b/>
                <w:sz w:val="20"/>
                <w:szCs w:val="22"/>
              </w:rPr>
              <w:t>Possess  a foundation for graduate study</w:t>
            </w:r>
          </w:p>
          <w:p w:rsidR="0060134F" w:rsidRPr="0060134F" w:rsidRDefault="0060134F" w:rsidP="005316E4">
            <w:pPr>
              <w:pStyle w:val="ListParagraph"/>
              <w:rPr>
                <w:rFonts w:ascii="Arial" w:hAnsi="Arial" w:cs="Arial"/>
                <w:b/>
                <w:sz w:val="20"/>
              </w:rPr>
            </w:pPr>
          </w:p>
          <w:p w:rsidR="008358AD" w:rsidRDefault="008358AD" w:rsidP="005316E4">
            <w:pPr>
              <w:pStyle w:val="ListParagraph"/>
              <w:numPr>
                <w:ilvl w:val="0"/>
                <w:numId w:val="33"/>
              </w:numPr>
              <w:spacing w:after="200"/>
              <w:ind w:left="318" w:hanging="270"/>
              <w:rPr>
                <w:rFonts w:ascii="Arial" w:hAnsi="Arial" w:cs="Arial"/>
                <w:b/>
                <w:sz w:val="20"/>
              </w:rPr>
            </w:pPr>
            <w:r w:rsidRPr="008358AD">
              <w:rPr>
                <w:rFonts w:ascii="Arial" w:hAnsi="Arial" w:cs="Arial"/>
                <w:b/>
                <w:sz w:val="20"/>
                <w:szCs w:val="22"/>
              </w:rPr>
              <w:t>Synthesize knowledge from a broad educational foundation upon which professional nursing practice is based</w:t>
            </w:r>
            <w:r w:rsidR="0060134F">
              <w:rPr>
                <w:rFonts w:ascii="Arial" w:hAnsi="Arial" w:cs="Arial"/>
                <w:b/>
                <w:sz w:val="20"/>
                <w:szCs w:val="22"/>
              </w:rPr>
              <w:br/>
            </w:r>
          </w:p>
          <w:p w:rsidR="008358AD" w:rsidRDefault="008358AD" w:rsidP="005316E4">
            <w:pPr>
              <w:pStyle w:val="ListParagraph"/>
              <w:numPr>
                <w:ilvl w:val="0"/>
                <w:numId w:val="33"/>
              </w:numPr>
              <w:spacing w:after="200"/>
              <w:ind w:left="318" w:hanging="270"/>
              <w:rPr>
                <w:rFonts w:ascii="Arial" w:hAnsi="Arial" w:cs="Arial"/>
                <w:b/>
                <w:sz w:val="20"/>
              </w:rPr>
            </w:pPr>
            <w:r w:rsidRPr="008358AD">
              <w:rPr>
                <w:rFonts w:ascii="Arial" w:hAnsi="Arial" w:cs="Arial"/>
                <w:b/>
                <w:sz w:val="20"/>
                <w:szCs w:val="22"/>
              </w:rPr>
              <w:t>Communicate and collaborate with members of the health team and other interested groups in identifying and meeting the health needs of individuals, families and communities nationally and internationally</w:t>
            </w:r>
            <w:r w:rsidR="0060134F">
              <w:rPr>
                <w:rFonts w:ascii="Arial" w:hAnsi="Arial" w:cs="Arial"/>
                <w:b/>
                <w:sz w:val="20"/>
                <w:szCs w:val="22"/>
              </w:rPr>
              <w:br/>
            </w:r>
          </w:p>
          <w:p w:rsidR="0060134F" w:rsidRPr="0060134F" w:rsidRDefault="008358AD" w:rsidP="005316E4">
            <w:pPr>
              <w:pStyle w:val="ListParagraph"/>
              <w:numPr>
                <w:ilvl w:val="0"/>
                <w:numId w:val="33"/>
              </w:numPr>
              <w:spacing w:after="200"/>
              <w:ind w:left="318" w:hanging="270"/>
              <w:rPr>
                <w:rFonts w:ascii="Arial" w:hAnsi="Arial" w:cs="Arial"/>
                <w:b/>
                <w:sz w:val="20"/>
              </w:rPr>
            </w:pPr>
            <w:r w:rsidRPr="0060134F">
              <w:rPr>
                <w:rFonts w:ascii="Arial" w:hAnsi="Arial" w:cs="Arial"/>
                <w:b/>
                <w:sz w:val="20"/>
                <w:szCs w:val="22"/>
              </w:rPr>
              <w:t>Demonstrate an understanding of the need for continuous personal and professional growth</w:t>
            </w:r>
            <w:r w:rsidR="0060134F">
              <w:rPr>
                <w:rFonts w:ascii="Arial" w:hAnsi="Arial" w:cs="Arial"/>
                <w:b/>
                <w:sz w:val="20"/>
                <w:szCs w:val="22"/>
              </w:rPr>
              <w:br/>
            </w:r>
          </w:p>
          <w:p w:rsidR="0060134F" w:rsidRPr="0060134F" w:rsidRDefault="008358AD" w:rsidP="005316E4">
            <w:pPr>
              <w:pStyle w:val="ListParagraph"/>
              <w:numPr>
                <w:ilvl w:val="0"/>
                <w:numId w:val="33"/>
              </w:numPr>
              <w:spacing w:after="200"/>
              <w:ind w:left="318" w:hanging="270"/>
              <w:rPr>
                <w:rFonts w:ascii="Arial" w:hAnsi="Arial" w:cs="Arial"/>
                <w:b/>
                <w:sz w:val="20"/>
              </w:rPr>
            </w:pPr>
            <w:r w:rsidRPr="0060134F">
              <w:rPr>
                <w:rFonts w:ascii="Arial" w:hAnsi="Arial" w:cs="Arial"/>
                <w:b/>
                <w:sz w:val="20"/>
                <w:szCs w:val="22"/>
              </w:rPr>
              <w:t>Possess basic knowledge about research and its application to practice</w:t>
            </w:r>
            <w:r w:rsidR="0060134F">
              <w:rPr>
                <w:rFonts w:ascii="Arial" w:hAnsi="Arial" w:cs="Arial"/>
                <w:b/>
                <w:sz w:val="20"/>
                <w:szCs w:val="22"/>
              </w:rPr>
              <w:br/>
            </w:r>
          </w:p>
          <w:p w:rsidR="008358AD" w:rsidRPr="008358AD" w:rsidRDefault="008358AD" w:rsidP="005316E4">
            <w:pPr>
              <w:pStyle w:val="ListParagraph"/>
              <w:numPr>
                <w:ilvl w:val="0"/>
                <w:numId w:val="33"/>
              </w:numPr>
              <w:ind w:left="342" w:hanging="270"/>
              <w:rPr>
                <w:rFonts w:ascii="Arial" w:hAnsi="Arial" w:cs="Arial"/>
                <w:b/>
                <w:sz w:val="20"/>
              </w:rPr>
            </w:pPr>
            <w:r w:rsidRPr="008358AD">
              <w:rPr>
                <w:rFonts w:ascii="Arial" w:hAnsi="Arial" w:cs="Arial"/>
                <w:b/>
                <w:sz w:val="20"/>
                <w:szCs w:val="22"/>
              </w:rPr>
              <w:t>Develop interpersonal  and technological skills necessary to assume leadership roles within the BSN scope of practice</w:t>
            </w:r>
          </w:p>
        </w:tc>
        <w:tc>
          <w:tcPr>
            <w:tcW w:w="3708" w:type="dxa"/>
            <w:tcBorders>
              <w:bottom w:val="single" w:sz="4" w:space="0" w:color="auto"/>
            </w:tcBorders>
          </w:tcPr>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Recruit and retain qualified and diverse faculty and students</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Maintain and expand good working relationships with clinical agencies</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Begin writing across the curriculum early and link it with research and evidence based practice</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Provide learning opportunities that require students use critical thinking and apply previous learning</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 xml:space="preserve">Provide learning opportunities that require students to communicate and be active </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 xml:space="preserve">Ensure that students perform in a professional and ethical manner </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Instill an awareness of the need for development of lifelong learning skills</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Create an environment that recognizes excellence and significant achievement</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Provide opportunities for development of skills required to function in the technological world</w:t>
            </w:r>
          </w:p>
          <w:p w:rsidR="008358AD" w:rsidRPr="008358AD" w:rsidRDefault="008358AD" w:rsidP="005316E4">
            <w:pPr>
              <w:numPr>
                <w:ilvl w:val="0"/>
                <w:numId w:val="32"/>
              </w:numPr>
              <w:spacing w:after="200"/>
              <w:ind w:left="276" w:hanging="270"/>
              <w:rPr>
                <w:rFonts w:ascii="Arial" w:hAnsi="Arial" w:cs="Arial"/>
                <w:b/>
                <w:sz w:val="20"/>
              </w:rPr>
            </w:pPr>
            <w:r w:rsidRPr="008358AD">
              <w:rPr>
                <w:rFonts w:ascii="Arial" w:hAnsi="Arial" w:cs="Arial"/>
                <w:b/>
                <w:sz w:val="20"/>
                <w:szCs w:val="22"/>
              </w:rPr>
              <w:t>Develop professional nursing skills, including leadership and management, through meaningful clinical learning opportunities with qualified clinical instructors</w:t>
            </w:r>
          </w:p>
          <w:p w:rsidR="007D41FB" w:rsidRPr="0060134F" w:rsidRDefault="008358AD" w:rsidP="005316E4">
            <w:pPr>
              <w:pStyle w:val="ListParagraph"/>
              <w:numPr>
                <w:ilvl w:val="0"/>
                <w:numId w:val="32"/>
              </w:numPr>
              <w:ind w:left="252" w:hanging="252"/>
              <w:rPr>
                <w:rFonts w:ascii="Arial" w:hAnsi="Arial" w:cs="Arial"/>
                <w:b/>
                <w:sz w:val="20"/>
              </w:rPr>
            </w:pPr>
            <w:r w:rsidRPr="0060134F">
              <w:rPr>
                <w:rFonts w:ascii="Arial" w:hAnsi="Arial" w:cs="Arial"/>
                <w:b/>
                <w:sz w:val="20"/>
                <w:szCs w:val="22"/>
              </w:rPr>
              <w:t>Provide opportunities to evaluate and use research in nursing practice and nursing education</w:t>
            </w:r>
          </w:p>
        </w:tc>
      </w:tr>
    </w:tbl>
    <w:p w:rsidR="008358AD" w:rsidRPr="008358AD" w:rsidRDefault="008358AD" w:rsidP="008358AD">
      <w:pPr>
        <w:rPr>
          <w:b/>
        </w:rPr>
      </w:pPr>
    </w:p>
    <w:p w:rsidR="008358AD" w:rsidRDefault="008358AD" w:rsidP="008358AD"/>
    <w:p w:rsidR="003015A3" w:rsidRDefault="003015A3" w:rsidP="006D14DB">
      <w:pPr>
        <w:rPr>
          <w:b/>
        </w:rPr>
      </w:pPr>
      <w:r w:rsidRPr="006D14DB">
        <w:rPr>
          <w:b/>
        </w:rPr>
        <w:t>Governance structure of the program</w:t>
      </w:r>
    </w:p>
    <w:p w:rsidR="006D14DB" w:rsidRDefault="006D14DB" w:rsidP="006D14DB">
      <w:r>
        <w:tab/>
        <w:t>Please refer to Appendix I - Organizational Chart.</w:t>
      </w:r>
    </w:p>
    <w:p w:rsidR="006D14DB" w:rsidRPr="006D14DB" w:rsidRDefault="006D14DB" w:rsidP="006D14DB"/>
    <w:p w:rsidR="003015A3" w:rsidRDefault="003015A3" w:rsidP="003D1C4B">
      <w:pPr>
        <w:ind w:firstLine="360"/>
        <w:rPr>
          <w:b/>
        </w:rPr>
      </w:pPr>
      <w:r w:rsidRPr="00164F42">
        <w:rPr>
          <w:b/>
        </w:rPr>
        <w:t>Admissions requirements (including limited access requirements if applicable)</w:t>
      </w:r>
    </w:p>
    <w:p w:rsidR="00164F42" w:rsidRDefault="00164F42" w:rsidP="00164F42">
      <w:pPr>
        <w:rPr>
          <w:b/>
        </w:rPr>
      </w:pPr>
      <w:r>
        <w:rPr>
          <w:b/>
        </w:rPr>
        <w:tab/>
      </w:r>
    </w:p>
    <w:p w:rsidR="00164F42" w:rsidRPr="003D1C4B" w:rsidRDefault="003D1C4B" w:rsidP="00AD24D4">
      <w:pPr>
        <w:autoSpaceDE w:val="0"/>
        <w:autoSpaceDN w:val="0"/>
        <w:adjustRightInd w:val="0"/>
        <w:spacing w:line="276" w:lineRule="auto"/>
        <w:ind w:firstLine="360"/>
        <w:rPr>
          <w:rFonts w:eastAsiaTheme="minorHAnsi"/>
          <w:bCs/>
          <w:u w:val="single"/>
        </w:rPr>
      </w:pPr>
      <w:r w:rsidRPr="003D1C4B">
        <w:rPr>
          <w:rFonts w:eastAsiaTheme="minorHAnsi"/>
          <w:bCs/>
          <w:u w:val="single"/>
        </w:rPr>
        <w:t>Admission for RN to BSN Option</w:t>
      </w:r>
    </w:p>
    <w:p w:rsidR="00164F42" w:rsidRPr="003D1C4B" w:rsidRDefault="00164F42" w:rsidP="00AD24D4">
      <w:pPr>
        <w:autoSpaceDE w:val="0"/>
        <w:autoSpaceDN w:val="0"/>
        <w:adjustRightInd w:val="0"/>
        <w:spacing w:line="276" w:lineRule="auto"/>
        <w:ind w:left="360" w:firstLine="360"/>
        <w:rPr>
          <w:rFonts w:eastAsiaTheme="minorHAnsi"/>
        </w:rPr>
      </w:pPr>
      <w:r w:rsidRPr="003D1C4B">
        <w:rPr>
          <w:rFonts w:eastAsiaTheme="minorHAnsi"/>
        </w:rPr>
        <w:t>Initial admission is based on requirements for admission to the University;</w:t>
      </w:r>
      <w:r w:rsidR="003D1C4B">
        <w:rPr>
          <w:rFonts w:eastAsiaTheme="minorHAnsi"/>
        </w:rPr>
        <w:t xml:space="preserve"> </w:t>
      </w:r>
      <w:r w:rsidRPr="003D1C4B">
        <w:rPr>
          <w:rFonts w:eastAsiaTheme="minorHAnsi"/>
        </w:rPr>
        <w:t>however, admission to the University does not assure admission to the</w:t>
      </w:r>
      <w:r w:rsidR="003D1C4B">
        <w:rPr>
          <w:rFonts w:eastAsiaTheme="minorHAnsi"/>
        </w:rPr>
        <w:t xml:space="preserve"> </w:t>
      </w:r>
      <w:r w:rsidRPr="003D1C4B">
        <w:rPr>
          <w:rFonts w:eastAsiaTheme="minorHAnsi"/>
        </w:rPr>
        <w:t xml:space="preserve">program in nursing. </w:t>
      </w:r>
      <w:r w:rsidR="00AD24D4">
        <w:rPr>
          <w:rFonts w:eastAsiaTheme="minorHAnsi"/>
        </w:rPr>
        <w:t>R</w:t>
      </w:r>
      <w:r w:rsidRPr="003D1C4B">
        <w:rPr>
          <w:rFonts w:eastAsiaTheme="minorHAnsi"/>
        </w:rPr>
        <w:t>equirements for admission to nursing courses are</w:t>
      </w:r>
      <w:r w:rsidR="00AD24D4">
        <w:rPr>
          <w:rFonts w:eastAsiaTheme="minorHAnsi"/>
        </w:rPr>
        <w:t xml:space="preserve"> as follows</w:t>
      </w:r>
      <w:r w:rsidRPr="003D1C4B">
        <w:rPr>
          <w:rFonts w:eastAsiaTheme="minorHAnsi"/>
        </w:rPr>
        <w:t>:</w:t>
      </w:r>
    </w:p>
    <w:p w:rsidR="00164F42" w:rsidRDefault="00164F42" w:rsidP="00AD24D4">
      <w:pPr>
        <w:autoSpaceDE w:val="0"/>
        <w:autoSpaceDN w:val="0"/>
        <w:adjustRightInd w:val="0"/>
        <w:spacing w:line="276" w:lineRule="auto"/>
        <w:ind w:left="720"/>
        <w:rPr>
          <w:rFonts w:eastAsiaTheme="minorHAnsi"/>
        </w:rPr>
      </w:pPr>
      <w:r w:rsidRPr="003D1C4B">
        <w:rPr>
          <w:rFonts w:eastAsiaTheme="minorHAnsi"/>
        </w:rPr>
        <w:t>• Submit a formal application to the College of Nursing. Applications</w:t>
      </w:r>
      <w:r w:rsidR="003D1C4B">
        <w:rPr>
          <w:rFonts w:eastAsiaTheme="minorHAnsi"/>
        </w:rPr>
        <w:t xml:space="preserve"> </w:t>
      </w:r>
      <w:r w:rsidRPr="003D1C4B">
        <w:rPr>
          <w:rFonts w:eastAsiaTheme="minorHAnsi"/>
        </w:rPr>
        <w:t>should be submitted by August 1 for fall admission, December 1 for</w:t>
      </w:r>
      <w:r w:rsidR="003D1C4B">
        <w:rPr>
          <w:rFonts w:eastAsiaTheme="minorHAnsi"/>
        </w:rPr>
        <w:t xml:space="preserve"> </w:t>
      </w:r>
      <w:r w:rsidRPr="003D1C4B">
        <w:rPr>
          <w:rFonts w:eastAsiaTheme="minorHAnsi"/>
        </w:rPr>
        <w:t>spring admission, and May 1 for summer admission. Applications are</w:t>
      </w:r>
      <w:r w:rsidR="003D1C4B">
        <w:rPr>
          <w:rFonts w:eastAsiaTheme="minorHAnsi"/>
        </w:rPr>
        <w:t xml:space="preserve"> </w:t>
      </w:r>
      <w:r w:rsidRPr="003D1C4B">
        <w:rPr>
          <w:rFonts w:eastAsiaTheme="minorHAnsi"/>
        </w:rPr>
        <w:t>available on the College of Nursing website.</w:t>
      </w:r>
    </w:p>
    <w:p w:rsidR="00164F42" w:rsidRPr="003D1C4B" w:rsidRDefault="00164F42" w:rsidP="00AD24D4">
      <w:pPr>
        <w:autoSpaceDE w:val="0"/>
        <w:autoSpaceDN w:val="0"/>
        <w:adjustRightInd w:val="0"/>
        <w:spacing w:line="276" w:lineRule="auto"/>
        <w:ind w:left="720"/>
        <w:rPr>
          <w:rFonts w:eastAsiaTheme="minorHAnsi"/>
        </w:rPr>
      </w:pPr>
      <w:r w:rsidRPr="003D1C4B">
        <w:rPr>
          <w:rFonts w:eastAsiaTheme="minorHAnsi"/>
        </w:rPr>
        <w:t>• Registered nurses must submit official proof of a current license and be</w:t>
      </w:r>
      <w:r w:rsidR="003D1C4B">
        <w:rPr>
          <w:rFonts w:eastAsiaTheme="minorHAnsi"/>
        </w:rPr>
        <w:t xml:space="preserve"> </w:t>
      </w:r>
      <w:r w:rsidRPr="003D1C4B">
        <w:rPr>
          <w:rFonts w:eastAsiaTheme="minorHAnsi"/>
        </w:rPr>
        <w:t>in good standing with the Board of Nursing. RNs may be admitted with</w:t>
      </w:r>
      <w:r w:rsidR="003D1C4B">
        <w:rPr>
          <w:rFonts w:eastAsiaTheme="minorHAnsi"/>
        </w:rPr>
        <w:t xml:space="preserve"> </w:t>
      </w:r>
      <w:r w:rsidRPr="003D1C4B">
        <w:rPr>
          <w:rFonts w:eastAsiaTheme="minorHAnsi"/>
        </w:rPr>
        <w:t>advanced standing based on official transcripts of acceptable college</w:t>
      </w:r>
      <w:r w:rsidR="003D1C4B">
        <w:rPr>
          <w:rFonts w:eastAsiaTheme="minorHAnsi"/>
        </w:rPr>
        <w:t xml:space="preserve"> </w:t>
      </w:r>
      <w:r w:rsidRPr="003D1C4B">
        <w:rPr>
          <w:rFonts w:eastAsiaTheme="minorHAnsi"/>
        </w:rPr>
        <w:t>work, evidence of graduation from a state-approved College of Nursing</w:t>
      </w:r>
      <w:r w:rsidR="003D1C4B">
        <w:rPr>
          <w:rFonts w:eastAsiaTheme="minorHAnsi"/>
        </w:rPr>
        <w:t xml:space="preserve"> </w:t>
      </w:r>
      <w:r w:rsidRPr="003D1C4B">
        <w:rPr>
          <w:rFonts w:eastAsiaTheme="minorHAnsi"/>
        </w:rPr>
        <w:t>and official licensure verification. Admission to the College of Nursing</w:t>
      </w:r>
      <w:r w:rsidR="003D1C4B">
        <w:rPr>
          <w:rFonts w:eastAsiaTheme="minorHAnsi"/>
        </w:rPr>
        <w:t xml:space="preserve"> </w:t>
      </w:r>
      <w:r w:rsidRPr="003D1C4B">
        <w:rPr>
          <w:rFonts w:eastAsiaTheme="minorHAnsi"/>
        </w:rPr>
        <w:t>and Allied Health is competitive, and meeting all admission requirements</w:t>
      </w:r>
      <w:r w:rsidR="003D1C4B">
        <w:rPr>
          <w:rFonts w:eastAsiaTheme="minorHAnsi"/>
        </w:rPr>
        <w:t xml:space="preserve"> </w:t>
      </w:r>
      <w:r w:rsidRPr="003D1C4B">
        <w:rPr>
          <w:rFonts w:eastAsiaTheme="minorHAnsi"/>
        </w:rPr>
        <w:t>does not guarantee admission.</w:t>
      </w:r>
    </w:p>
    <w:p w:rsidR="003D1C4B" w:rsidRDefault="003D1C4B" w:rsidP="00AD24D4">
      <w:pPr>
        <w:autoSpaceDE w:val="0"/>
        <w:autoSpaceDN w:val="0"/>
        <w:adjustRightInd w:val="0"/>
        <w:spacing w:line="276" w:lineRule="auto"/>
        <w:ind w:left="720"/>
        <w:rPr>
          <w:rFonts w:eastAsiaTheme="minorHAnsi"/>
          <w:b/>
          <w:bCs/>
        </w:rPr>
      </w:pPr>
    </w:p>
    <w:p w:rsidR="00164F42" w:rsidRPr="003D1C4B" w:rsidRDefault="00164F42" w:rsidP="00AD24D4">
      <w:pPr>
        <w:autoSpaceDE w:val="0"/>
        <w:autoSpaceDN w:val="0"/>
        <w:adjustRightInd w:val="0"/>
        <w:spacing w:line="276" w:lineRule="auto"/>
        <w:ind w:left="360" w:firstLine="360"/>
        <w:rPr>
          <w:rFonts w:eastAsiaTheme="minorHAnsi"/>
          <w:bCs/>
          <w:u w:val="single"/>
        </w:rPr>
      </w:pPr>
      <w:r w:rsidRPr="003D1C4B">
        <w:rPr>
          <w:rFonts w:eastAsiaTheme="minorHAnsi"/>
          <w:bCs/>
          <w:u w:val="single"/>
        </w:rPr>
        <w:t>A</w:t>
      </w:r>
      <w:r w:rsidR="003D1C4B" w:rsidRPr="003D1C4B">
        <w:rPr>
          <w:rFonts w:eastAsiaTheme="minorHAnsi"/>
          <w:bCs/>
          <w:u w:val="single"/>
        </w:rPr>
        <w:t>dmission for the RN to MSN Option</w:t>
      </w:r>
    </w:p>
    <w:p w:rsidR="00164F42" w:rsidRPr="003D1C4B" w:rsidRDefault="00164F42" w:rsidP="00AD24D4">
      <w:pPr>
        <w:autoSpaceDE w:val="0"/>
        <w:autoSpaceDN w:val="0"/>
        <w:adjustRightInd w:val="0"/>
        <w:spacing w:line="276" w:lineRule="auto"/>
        <w:ind w:left="360" w:firstLine="360"/>
        <w:rPr>
          <w:rFonts w:eastAsiaTheme="minorHAnsi"/>
        </w:rPr>
      </w:pPr>
      <w:r w:rsidRPr="003D1C4B">
        <w:rPr>
          <w:rFonts w:eastAsiaTheme="minorHAnsi"/>
        </w:rPr>
        <w:t>The RN-to-MSN alternative allows the substitution of nine semester</w:t>
      </w:r>
      <w:r w:rsidR="003D1C4B">
        <w:rPr>
          <w:rFonts w:eastAsiaTheme="minorHAnsi"/>
        </w:rPr>
        <w:t xml:space="preserve"> hours of graduate </w:t>
      </w:r>
      <w:r w:rsidRPr="003D1C4B">
        <w:rPr>
          <w:rFonts w:eastAsiaTheme="minorHAnsi"/>
        </w:rPr>
        <w:t>nursing courses for nine hours of undergraduate nursing</w:t>
      </w:r>
      <w:r w:rsidR="003D1C4B">
        <w:rPr>
          <w:rFonts w:eastAsiaTheme="minorHAnsi"/>
        </w:rPr>
        <w:t xml:space="preserve"> </w:t>
      </w:r>
      <w:r w:rsidRPr="003D1C4B">
        <w:rPr>
          <w:rFonts w:eastAsiaTheme="minorHAnsi"/>
        </w:rPr>
        <w:t>courses. Students who are enrolled in the RN-to-BSN option may opt to</w:t>
      </w:r>
      <w:r w:rsidR="003D1C4B">
        <w:rPr>
          <w:rFonts w:eastAsiaTheme="minorHAnsi"/>
        </w:rPr>
        <w:t xml:space="preserve"> </w:t>
      </w:r>
      <w:r w:rsidRPr="003D1C4B">
        <w:rPr>
          <w:rFonts w:eastAsiaTheme="minorHAnsi"/>
        </w:rPr>
        <w:t>follow the RN-to-MSN alternative provided they meet the following requirements:</w:t>
      </w:r>
    </w:p>
    <w:p w:rsidR="00164F42" w:rsidRPr="003D1C4B" w:rsidRDefault="00164F42" w:rsidP="00AD24D4">
      <w:pPr>
        <w:autoSpaceDE w:val="0"/>
        <w:autoSpaceDN w:val="0"/>
        <w:adjustRightInd w:val="0"/>
        <w:spacing w:line="276" w:lineRule="auto"/>
        <w:ind w:left="720"/>
        <w:rPr>
          <w:rFonts w:eastAsiaTheme="minorHAnsi"/>
        </w:rPr>
      </w:pPr>
      <w:r w:rsidRPr="003D1C4B">
        <w:rPr>
          <w:rFonts w:eastAsiaTheme="minorHAnsi"/>
        </w:rPr>
        <w:t>• A minimum 3.0 GPA after completing 12 credit hours of undergraduate</w:t>
      </w:r>
    </w:p>
    <w:p w:rsidR="00164F42" w:rsidRPr="003D1C4B" w:rsidRDefault="00164F42" w:rsidP="00AD24D4">
      <w:pPr>
        <w:autoSpaceDE w:val="0"/>
        <w:autoSpaceDN w:val="0"/>
        <w:adjustRightInd w:val="0"/>
        <w:spacing w:line="276" w:lineRule="auto"/>
        <w:ind w:left="720"/>
        <w:rPr>
          <w:rFonts w:eastAsiaTheme="minorHAnsi"/>
        </w:rPr>
      </w:pPr>
      <w:r w:rsidRPr="003D1C4B">
        <w:rPr>
          <w:rFonts w:eastAsiaTheme="minorHAnsi"/>
        </w:rPr>
        <w:t>nursing courses at UNA.</w:t>
      </w:r>
    </w:p>
    <w:p w:rsidR="00164F42" w:rsidRPr="003D1C4B" w:rsidRDefault="00164F42" w:rsidP="00AD24D4">
      <w:pPr>
        <w:autoSpaceDE w:val="0"/>
        <w:autoSpaceDN w:val="0"/>
        <w:adjustRightInd w:val="0"/>
        <w:spacing w:line="276" w:lineRule="auto"/>
        <w:ind w:left="720"/>
        <w:rPr>
          <w:rFonts w:eastAsiaTheme="minorHAnsi"/>
        </w:rPr>
      </w:pPr>
      <w:r w:rsidRPr="003D1C4B">
        <w:rPr>
          <w:rFonts w:eastAsiaTheme="minorHAnsi"/>
        </w:rPr>
        <w:t>• Advisor permission to register for graduate nursing courses.</w:t>
      </w:r>
    </w:p>
    <w:p w:rsidR="00AD24D4" w:rsidRDefault="00164F42" w:rsidP="00AD24D4">
      <w:pPr>
        <w:autoSpaceDE w:val="0"/>
        <w:autoSpaceDN w:val="0"/>
        <w:adjustRightInd w:val="0"/>
        <w:spacing w:line="276" w:lineRule="auto"/>
        <w:ind w:left="360"/>
        <w:rPr>
          <w:rFonts w:eastAsiaTheme="minorHAnsi"/>
        </w:rPr>
      </w:pPr>
      <w:r w:rsidRPr="003D1C4B">
        <w:rPr>
          <w:rFonts w:eastAsiaTheme="minorHAnsi"/>
        </w:rPr>
        <w:t>Students who meet the requirements for the RN-to-MSN alternative will</w:t>
      </w:r>
      <w:r w:rsidR="003D1C4B">
        <w:rPr>
          <w:rFonts w:eastAsiaTheme="minorHAnsi"/>
        </w:rPr>
        <w:t xml:space="preserve"> </w:t>
      </w:r>
      <w:r w:rsidRPr="003D1C4B">
        <w:rPr>
          <w:rFonts w:eastAsiaTheme="minorHAnsi"/>
        </w:rPr>
        <w:t>take</w:t>
      </w:r>
      <w:r w:rsidR="00AD24D4">
        <w:rPr>
          <w:rFonts w:eastAsiaTheme="minorHAnsi"/>
        </w:rPr>
        <w:t>:</w:t>
      </w:r>
    </w:p>
    <w:p w:rsidR="00AD24D4" w:rsidRPr="00AD24D4" w:rsidRDefault="00164F42" w:rsidP="00AD24D4">
      <w:pPr>
        <w:pStyle w:val="ListParagraph"/>
        <w:numPr>
          <w:ilvl w:val="0"/>
          <w:numId w:val="35"/>
        </w:numPr>
        <w:autoSpaceDE w:val="0"/>
        <w:autoSpaceDN w:val="0"/>
        <w:adjustRightInd w:val="0"/>
        <w:spacing w:line="276" w:lineRule="auto"/>
        <w:rPr>
          <w:b/>
        </w:rPr>
      </w:pPr>
      <w:r w:rsidRPr="00AD24D4">
        <w:rPr>
          <w:rFonts w:eastAsiaTheme="minorHAnsi"/>
        </w:rPr>
        <w:t xml:space="preserve">NU 501 Advanced Nursing Research (3 hrs) in lieu of </w:t>
      </w:r>
    </w:p>
    <w:p w:rsidR="00AD24D4" w:rsidRPr="00AD24D4" w:rsidRDefault="00164F42" w:rsidP="00AD24D4">
      <w:pPr>
        <w:autoSpaceDE w:val="0"/>
        <w:autoSpaceDN w:val="0"/>
        <w:adjustRightInd w:val="0"/>
        <w:spacing w:line="276" w:lineRule="auto"/>
        <w:ind w:left="1125"/>
        <w:rPr>
          <w:b/>
        </w:rPr>
      </w:pPr>
      <w:r w:rsidRPr="00AD24D4">
        <w:rPr>
          <w:rFonts w:eastAsiaTheme="minorHAnsi"/>
        </w:rPr>
        <w:t>NU 303 Nursing</w:t>
      </w:r>
      <w:r w:rsidR="003D1C4B" w:rsidRPr="00AD24D4">
        <w:rPr>
          <w:rFonts w:eastAsiaTheme="minorHAnsi"/>
        </w:rPr>
        <w:t xml:space="preserve"> </w:t>
      </w:r>
      <w:r w:rsidR="00AD24D4" w:rsidRPr="00AD24D4">
        <w:rPr>
          <w:rFonts w:eastAsiaTheme="minorHAnsi"/>
        </w:rPr>
        <w:t xml:space="preserve">Research (3 hrs) </w:t>
      </w:r>
    </w:p>
    <w:p w:rsidR="00AD24D4" w:rsidRPr="00AD24D4" w:rsidRDefault="00164F42" w:rsidP="00AD24D4">
      <w:pPr>
        <w:pStyle w:val="ListParagraph"/>
        <w:numPr>
          <w:ilvl w:val="0"/>
          <w:numId w:val="35"/>
        </w:numPr>
        <w:autoSpaceDE w:val="0"/>
        <w:autoSpaceDN w:val="0"/>
        <w:adjustRightInd w:val="0"/>
        <w:spacing w:line="276" w:lineRule="auto"/>
        <w:rPr>
          <w:b/>
        </w:rPr>
      </w:pPr>
      <w:r w:rsidRPr="00AD24D4">
        <w:rPr>
          <w:rFonts w:eastAsiaTheme="minorHAnsi"/>
        </w:rPr>
        <w:t>NU 503 Advanced Theory (3 hrs) and NU 601</w:t>
      </w:r>
      <w:r w:rsidR="003D1C4B" w:rsidRPr="00AD24D4">
        <w:rPr>
          <w:rFonts w:eastAsiaTheme="minorHAnsi"/>
        </w:rPr>
        <w:t xml:space="preserve"> </w:t>
      </w:r>
      <w:r w:rsidRPr="00AD24D4">
        <w:rPr>
          <w:rFonts w:eastAsiaTheme="minorHAnsi"/>
        </w:rPr>
        <w:t>Health Policy and Social Issues</w:t>
      </w:r>
      <w:r w:rsidR="00AD24D4">
        <w:rPr>
          <w:rFonts w:eastAsiaTheme="minorHAnsi"/>
        </w:rPr>
        <w:t xml:space="preserve"> (3hrs)</w:t>
      </w:r>
      <w:r w:rsidRPr="00AD24D4">
        <w:rPr>
          <w:rFonts w:eastAsiaTheme="minorHAnsi"/>
        </w:rPr>
        <w:t xml:space="preserve"> in lieu of NU 418 Concepts, Theory and</w:t>
      </w:r>
      <w:r w:rsidR="003D1C4B" w:rsidRPr="00AD24D4">
        <w:rPr>
          <w:rFonts w:eastAsiaTheme="minorHAnsi"/>
        </w:rPr>
        <w:t xml:space="preserve"> </w:t>
      </w:r>
      <w:r w:rsidRPr="00AD24D4">
        <w:rPr>
          <w:rFonts w:eastAsiaTheme="minorHAnsi"/>
        </w:rPr>
        <w:t xml:space="preserve">Issues in Nursing (6 hrs). </w:t>
      </w:r>
    </w:p>
    <w:p w:rsidR="00164F42" w:rsidRPr="00AD24D4" w:rsidRDefault="00164F42" w:rsidP="00AD24D4">
      <w:pPr>
        <w:autoSpaceDE w:val="0"/>
        <w:autoSpaceDN w:val="0"/>
        <w:adjustRightInd w:val="0"/>
        <w:spacing w:line="276" w:lineRule="auto"/>
        <w:ind w:left="405"/>
        <w:rPr>
          <w:b/>
        </w:rPr>
      </w:pPr>
      <w:r w:rsidRPr="00AD24D4">
        <w:rPr>
          <w:rFonts w:eastAsiaTheme="minorHAnsi"/>
        </w:rPr>
        <w:t>Following successful completion of NU 501 and NU</w:t>
      </w:r>
      <w:r w:rsidR="003D1C4B" w:rsidRPr="00AD24D4">
        <w:rPr>
          <w:rFonts w:eastAsiaTheme="minorHAnsi"/>
        </w:rPr>
        <w:t xml:space="preserve"> </w:t>
      </w:r>
      <w:r w:rsidRPr="00AD24D4">
        <w:rPr>
          <w:rFonts w:eastAsiaTheme="minorHAnsi"/>
        </w:rPr>
        <w:t>503, students may apply for acceptance to the RN-to-MSN alternative and</w:t>
      </w:r>
      <w:r w:rsidR="003D1C4B" w:rsidRPr="00AD24D4">
        <w:rPr>
          <w:rFonts w:eastAsiaTheme="minorHAnsi"/>
        </w:rPr>
        <w:t xml:space="preserve"> </w:t>
      </w:r>
      <w:r w:rsidRPr="00AD24D4">
        <w:rPr>
          <w:rFonts w:eastAsiaTheme="minorHAnsi"/>
        </w:rPr>
        <w:t xml:space="preserve">must meet all additional requirements as described in the </w:t>
      </w:r>
      <w:r w:rsidRPr="00AD24D4">
        <w:rPr>
          <w:rFonts w:eastAsiaTheme="minorHAnsi"/>
          <w:iCs/>
        </w:rPr>
        <w:t>Graduate Catalog</w:t>
      </w:r>
      <w:r w:rsidRPr="00AD24D4">
        <w:rPr>
          <w:rFonts w:eastAsiaTheme="minorHAnsi"/>
        </w:rPr>
        <w:t>.</w:t>
      </w:r>
    </w:p>
    <w:p w:rsidR="00164F42" w:rsidRDefault="00164F42" w:rsidP="00164F42">
      <w:pPr>
        <w:rPr>
          <w:b/>
        </w:rPr>
      </w:pPr>
    </w:p>
    <w:p w:rsidR="00674558" w:rsidRDefault="00674558" w:rsidP="00164F42">
      <w:pPr>
        <w:rPr>
          <w:b/>
        </w:rPr>
      </w:pPr>
      <w:r>
        <w:rPr>
          <w:b/>
        </w:rPr>
        <w:tab/>
      </w:r>
    </w:p>
    <w:p w:rsidR="00674558" w:rsidRDefault="00674558" w:rsidP="00164F42">
      <w:pPr>
        <w:rPr>
          <w:b/>
        </w:rPr>
      </w:pPr>
    </w:p>
    <w:p w:rsidR="00674558" w:rsidRDefault="00674558" w:rsidP="00164F42">
      <w:pPr>
        <w:rPr>
          <w:b/>
        </w:rPr>
      </w:pPr>
    </w:p>
    <w:p w:rsidR="00674558" w:rsidRDefault="00674558" w:rsidP="00164F42">
      <w:pPr>
        <w:rPr>
          <w:b/>
        </w:rPr>
      </w:pPr>
    </w:p>
    <w:p w:rsidR="00164F42" w:rsidRDefault="00674558" w:rsidP="007D4FD2">
      <w:pPr>
        <w:spacing w:line="276" w:lineRule="auto"/>
        <w:rPr>
          <w:u w:val="single"/>
        </w:rPr>
      </w:pPr>
      <w:r w:rsidRPr="00674558">
        <w:rPr>
          <w:u w:val="single"/>
        </w:rPr>
        <w:lastRenderedPageBreak/>
        <w:t>Admission to the MSN Program</w:t>
      </w:r>
    </w:p>
    <w:p w:rsidR="00831E30" w:rsidRDefault="00831E30" w:rsidP="007D4FD2">
      <w:pPr>
        <w:spacing w:line="276" w:lineRule="auto"/>
        <w:rPr>
          <w:u w:val="single"/>
        </w:rPr>
      </w:pPr>
    </w:p>
    <w:p w:rsidR="00831E30" w:rsidRPr="00831E30" w:rsidRDefault="00831E30" w:rsidP="007D4FD2">
      <w:pPr>
        <w:spacing w:line="276" w:lineRule="auto"/>
        <w:ind w:firstLine="360"/>
      </w:pPr>
      <w:r>
        <w:t>Unconditional Admission</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Bachelor of Science Degree in Nursing from a nationally accredited institution</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Unencumbered license to practice nursing in the United States</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Undergraduate grade point average (GPA) of 3.0* or greater</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1 year full-time experience as a registered nurse (Required for Nursing in Teaching-Learning Environments track only).</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Three references from professional sources</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Completed College of Nursing admission application</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Written statement of professional goals and the role of graduate education in achieving those goals</w:t>
      </w:r>
    </w:p>
    <w:p w:rsidR="00674558" w:rsidRP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For international students, a minimum score of 550 on the paper-based Test of English as a Foreign Language (TOEFL) or a minimum score of 213 on the computer-based TOEFL.</w:t>
      </w:r>
    </w:p>
    <w:p w:rsidR="00674558" w:rsidRDefault="00674558" w:rsidP="007D4FD2">
      <w:pPr>
        <w:numPr>
          <w:ilvl w:val="0"/>
          <w:numId w:val="36"/>
        </w:numPr>
        <w:shd w:val="clear" w:color="auto" w:fill="FFFFFF"/>
        <w:tabs>
          <w:tab w:val="num" w:pos="810"/>
        </w:tabs>
        <w:spacing w:before="100" w:beforeAutospacing="1" w:after="100" w:afterAutospacing="1" w:line="276" w:lineRule="auto"/>
        <w:ind w:left="1170"/>
      </w:pPr>
      <w:r w:rsidRPr="00674558">
        <w:t>Official transcripts from all colleges or universities attended</w:t>
      </w:r>
    </w:p>
    <w:p w:rsidR="00674558" w:rsidRPr="00674558" w:rsidRDefault="00674558" w:rsidP="007D4FD2">
      <w:pPr>
        <w:shd w:val="clear" w:color="auto" w:fill="FFFFFF"/>
        <w:spacing w:before="100" w:beforeAutospacing="1" w:after="100" w:afterAutospacing="1" w:line="276" w:lineRule="auto"/>
        <w:ind w:left="360"/>
      </w:pPr>
      <w:r w:rsidRPr="00674558">
        <w:t xml:space="preserve">Conditional admission may be considered on a case-by-case basis for the applicant who does not fully meet admission requirements. The conditionally admitted student must have three years of full-time experience as a registered nurse. Conditionally admitted students may be required to take either the </w:t>
      </w:r>
      <w:hyperlink r:id="rId18" w:history="1">
        <w:r w:rsidRPr="00674558">
          <w:rPr>
            <w:rStyle w:val="Hyperlink"/>
            <w:rFonts w:eastAsiaTheme="majorEastAsia"/>
          </w:rPr>
          <w:t>Graduate Records Examination</w:t>
        </w:r>
      </w:hyperlink>
      <w:r w:rsidRPr="00674558">
        <w:t xml:space="preserve"> (GRE) or the </w:t>
      </w:r>
      <w:hyperlink r:id="rId19" w:history="1">
        <w:r w:rsidRPr="00674558">
          <w:rPr>
            <w:rStyle w:val="Hyperlink"/>
            <w:rFonts w:eastAsiaTheme="majorEastAsia"/>
          </w:rPr>
          <w:t>Miller Analogies Test</w:t>
        </w:r>
      </w:hyperlink>
      <w:r w:rsidRPr="00674558">
        <w:t xml:space="preserve"> (MAT). The applicant with a GRE score of 1000 or greater or MAT score of 410 or greater qualifies for </w:t>
      </w:r>
      <w:r w:rsidRPr="00674558">
        <w:rPr>
          <w:u w:val="single"/>
        </w:rPr>
        <w:t>unconditional admission</w:t>
      </w:r>
      <w:r w:rsidRPr="00674558">
        <w:t xml:space="preserve"> to the MSN program regardless of undergraduate GPA.</w:t>
      </w:r>
    </w:p>
    <w:p w:rsidR="00674558" w:rsidRPr="00674558" w:rsidRDefault="00674558" w:rsidP="007D4FD2">
      <w:pPr>
        <w:shd w:val="clear" w:color="auto" w:fill="FFFFFF"/>
        <w:spacing w:before="100" w:beforeAutospacing="1" w:after="100" w:afterAutospacing="1" w:line="276" w:lineRule="auto"/>
        <w:ind w:left="360"/>
      </w:pPr>
      <w:r w:rsidRPr="00831E30">
        <w:rPr>
          <w:bCs/>
        </w:rPr>
        <w:t>Clinical Health Requirements</w:t>
      </w:r>
      <w:r w:rsidRPr="00674558">
        <w:br/>
        <w:t>All students are expected to have a physical examination, proof of hepatitis B and other immunizations, current tuberculosis screening, a current Basic Life Support card, a notarized felony affidavit, and current student liability insurance prior to beginning clinical courses. Students must also hold current licensure (unencumbered) in the state(s) in which clinical experiences will be completed. The appropriate forms with these items documented are to be submitted by a specified deadline date</w:t>
      </w:r>
    </w:p>
    <w:p w:rsidR="003015A3" w:rsidRDefault="003015A3" w:rsidP="007D4FD2">
      <w:pPr>
        <w:spacing w:line="276" w:lineRule="auto"/>
        <w:rPr>
          <w:b/>
        </w:rPr>
      </w:pPr>
      <w:r w:rsidRPr="00AD24D4">
        <w:rPr>
          <w:b/>
        </w:rPr>
        <w:t>Degree req</w:t>
      </w:r>
      <w:r w:rsidR="00AD24D4" w:rsidRPr="00AD24D4">
        <w:rPr>
          <w:b/>
        </w:rPr>
        <w:t>uirements</w:t>
      </w:r>
    </w:p>
    <w:p w:rsidR="00182494" w:rsidRDefault="00182494" w:rsidP="007D4FD2">
      <w:pPr>
        <w:spacing w:line="276" w:lineRule="auto"/>
        <w:rPr>
          <w:b/>
        </w:rPr>
      </w:pPr>
    </w:p>
    <w:p w:rsidR="00831E30" w:rsidRDefault="00182494" w:rsidP="007D4FD2">
      <w:pPr>
        <w:spacing w:line="276" w:lineRule="auto"/>
        <w:rPr>
          <w:b/>
        </w:rPr>
      </w:pPr>
      <w:r>
        <w:rPr>
          <w:sz w:val="23"/>
          <w:szCs w:val="23"/>
        </w:rPr>
        <w:t xml:space="preserve">Both the RN to BSN option and the RN to MSN option are a 128-hour program leading to the Bachelor in Nursing degree. The General Studies requirements </w:t>
      </w:r>
      <w:r w:rsidR="00674558">
        <w:rPr>
          <w:sz w:val="23"/>
          <w:szCs w:val="23"/>
        </w:rPr>
        <w:t>equal 64 hours and Nursing requirements equal 64 hrs, for a total of 128 hours.</w:t>
      </w:r>
      <w:r w:rsidR="0044450A">
        <w:rPr>
          <w:sz w:val="23"/>
          <w:szCs w:val="23"/>
        </w:rPr>
        <w:t>.</w:t>
      </w:r>
    </w:p>
    <w:p w:rsidR="00253071" w:rsidRDefault="00253071" w:rsidP="00182494">
      <w:pPr>
        <w:tabs>
          <w:tab w:val="left" w:pos="6120"/>
          <w:tab w:val="left" w:pos="6210"/>
        </w:tabs>
        <w:autoSpaceDE w:val="0"/>
        <w:autoSpaceDN w:val="0"/>
        <w:adjustRightInd w:val="0"/>
        <w:rPr>
          <w:b/>
        </w:rPr>
      </w:pPr>
      <w:r>
        <w:rPr>
          <w:b/>
        </w:rPr>
        <w:tab/>
      </w:r>
    </w:p>
    <w:p w:rsidR="0044450A" w:rsidRDefault="0044450A" w:rsidP="00674558">
      <w:pPr>
        <w:rPr>
          <w:b/>
        </w:rPr>
      </w:pPr>
    </w:p>
    <w:p w:rsidR="00253071" w:rsidRPr="0044450A" w:rsidRDefault="00674558" w:rsidP="0044450A">
      <w:r w:rsidRPr="00AD24D4">
        <w:rPr>
          <w:b/>
        </w:rPr>
        <w:lastRenderedPageBreak/>
        <w:t>Curriculum</w:t>
      </w:r>
      <w:r w:rsidR="0044450A">
        <w:t xml:space="preserve"> </w:t>
      </w:r>
      <w:r w:rsidR="00253071" w:rsidRPr="0044450A">
        <w:rPr>
          <w:rFonts w:eastAsiaTheme="minorHAnsi"/>
          <w:b/>
        </w:rPr>
        <w:t>Requirements for the RN to BSN Option and the RN to MSN Option</w:t>
      </w:r>
      <w:r w:rsidR="00253071" w:rsidRPr="00182494">
        <w:rPr>
          <w:rFonts w:eastAsiaTheme="minorHAnsi"/>
        </w:rPr>
        <w:t xml:space="preserve"> </w:t>
      </w:r>
    </w:p>
    <w:p w:rsidR="00253071" w:rsidRPr="00182494" w:rsidRDefault="00253071" w:rsidP="00253071">
      <w:pPr>
        <w:autoSpaceDE w:val="0"/>
        <w:autoSpaceDN w:val="0"/>
        <w:adjustRightInd w:val="0"/>
        <w:rPr>
          <w:rFonts w:eastAsiaTheme="minorHAnsi"/>
          <w:b/>
          <w:bCs/>
        </w:rPr>
      </w:pPr>
    </w:p>
    <w:p w:rsidR="00253071" w:rsidRPr="00182494" w:rsidRDefault="00253071" w:rsidP="00253071">
      <w:pPr>
        <w:autoSpaceDE w:val="0"/>
        <w:autoSpaceDN w:val="0"/>
        <w:adjustRightInd w:val="0"/>
        <w:rPr>
          <w:rFonts w:eastAsiaTheme="minorHAnsi"/>
          <w:b/>
          <w:bCs/>
        </w:rPr>
      </w:pPr>
      <w:r w:rsidRPr="00182494">
        <w:rPr>
          <w:rFonts w:eastAsiaTheme="minorHAnsi"/>
          <w:b/>
          <w:bCs/>
        </w:rPr>
        <w:t>Course Credit</w:t>
      </w:r>
    </w:p>
    <w:p w:rsidR="00253071" w:rsidRPr="00182494" w:rsidRDefault="00253071" w:rsidP="00253071">
      <w:pPr>
        <w:autoSpaceDE w:val="0"/>
        <w:autoSpaceDN w:val="0"/>
        <w:adjustRightInd w:val="0"/>
        <w:rPr>
          <w:rFonts w:eastAsiaTheme="minorHAnsi"/>
        </w:rPr>
      </w:pPr>
      <w:r w:rsidRPr="00182494">
        <w:rPr>
          <w:rFonts w:eastAsiaTheme="minorHAnsi"/>
        </w:rPr>
        <w:t>A. General Education Component: . . . . . . . . . . . . . . . . . . . . . . . . . . . . . 41</w:t>
      </w:r>
    </w:p>
    <w:p w:rsidR="00253071" w:rsidRPr="00182494" w:rsidRDefault="00253071" w:rsidP="00253071">
      <w:pPr>
        <w:autoSpaceDE w:val="0"/>
        <w:autoSpaceDN w:val="0"/>
        <w:adjustRightInd w:val="0"/>
        <w:rPr>
          <w:rFonts w:eastAsiaTheme="minorHAnsi"/>
        </w:rPr>
      </w:pPr>
    </w:p>
    <w:p w:rsidR="00253071" w:rsidRPr="00182494" w:rsidRDefault="00253071" w:rsidP="00253071">
      <w:pPr>
        <w:autoSpaceDE w:val="0"/>
        <w:autoSpaceDN w:val="0"/>
        <w:adjustRightInd w:val="0"/>
        <w:rPr>
          <w:rFonts w:eastAsiaTheme="minorHAnsi"/>
        </w:rPr>
      </w:pPr>
      <w:r w:rsidRPr="00182494">
        <w:rPr>
          <w:rFonts w:eastAsiaTheme="minorHAnsi"/>
        </w:rPr>
        <w:t>Nursing majors must complete:</w:t>
      </w:r>
    </w:p>
    <w:p w:rsidR="00253071" w:rsidRPr="00182494" w:rsidRDefault="00253071" w:rsidP="00253071">
      <w:pPr>
        <w:autoSpaceDE w:val="0"/>
        <w:autoSpaceDN w:val="0"/>
        <w:adjustRightInd w:val="0"/>
        <w:rPr>
          <w:rFonts w:eastAsiaTheme="minorHAnsi"/>
        </w:rPr>
      </w:pPr>
      <w:r w:rsidRPr="00182494">
        <w:rPr>
          <w:rFonts w:eastAsiaTheme="minorHAnsi"/>
        </w:rPr>
        <w:t>Area III: Chemistry 101-102* or 111-112*</w:t>
      </w:r>
    </w:p>
    <w:p w:rsidR="00253071" w:rsidRPr="00182494" w:rsidRDefault="00253071" w:rsidP="00253071">
      <w:pPr>
        <w:autoSpaceDE w:val="0"/>
        <w:autoSpaceDN w:val="0"/>
        <w:adjustRightInd w:val="0"/>
        <w:rPr>
          <w:rFonts w:eastAsiaTheme="minorHAnsi"/>
        </w:rPr>
      </w:pPr>
      <w:r w:rsidRPr="00182494">
        <w:rPr>
          <w:rFonts w:eastAsiaTheme="minorHAnsi"/>
        </w:rPr>
        <w:t>Area IV: Education 299 and Psychology 201</w:t>
      </w:r>
    </w:p>
    <w:p w:rsidR="00253071" w:rsidRPr="00182494" w:rsidRDefault="00253071" w:rsidP="00182494">
      <w:pPr>
        <w:tabs>
          <w:tab w:val="left" w:pos="7020"/>
        </w:tabs>
        <w:autoSpaceDE w:val="0"/>
        <w:autoSpaceDN w:val="0"/>
        <w:adjustRightInd w:val="0"/>
        <w:rPr>
          <w:rFonts w:eastAsiaTheme="minorHAnsi"/>
        </w:rPr>
      </w:pPr>
      <w:r w:rsidRPr="00182494">
        <w:rPr>
          <w:rFonts w:eastAsiaTheme="minorHAnsi"/>
        </w:rPr>
        <w:t xml:space="preserve">Area V: Additional Requirements . . . . . . . . . . . . . . . . . . . . . . . . . . . . </w:t>
      </w:r>
      <w:r w:rsidR="00BE5793" w:rsidRPr="00182494">
        <w:rPr>
          <w:rFonts w:eastAsiaTheme="minorHAnsi"/>
        </w:rPr>
        <w:t>…</w:t>
      </w:r>
      <w:r w:rsidRPr="00182494">
        <w:rPr>
          <w:rFonts w:eastAsiaTheme="minorHAnsi"/>
        </w:rPr>
        <w:t>23</w:t>
      </w:r>
    </w:p>
    <w:p w:rsidR="00253071" w:rsidRPr="00182494" w:rsidRDefault="00253071" w:rsidP="00253071">
      <w:pPr>
        <w:autoSpaceDE w:val="0"/>
        <w:autoSpaceDN w:val="0"/>
        <w:adjustRightInd w:val="0"/>
        <w:ind w:firstLine="720"/>
        <w:rPr>
          <w:rFonts w:eastAsiaTheme="minorHAnsi"/>
        </w:rPr>
      </w:pPr>
      <w:r w:rsidRPr="00182494">
        <w:rPr>
          <w:rFonts w:eastAsiaTheme="minorHAnsi"/>
        </w:rPr>
        <w:t>Biology 241-242 (8)</w:t>
      </w:r>
    </w:p>
    <w:p w:rsidR="00253071" w:rsidRPr="00182494" w:rsidRDefault="00253071" w:rsidP="00253071">
      <w:pPr>
        <w:autoSpaceDE w:val="0"/>
        <w:autoSpaceDN w:val="0"/>
        <w:adjustRightInd w:val="0"/>
        <w:ind w:firstLine="720"/>
        <w:rPr>
          <w:rFonts w:eastAsiaTheme="minorHAnsi"/>
        </w:rPr>
      </w:pPr>
      <w:r w:rsidRPr="00182494">
        <w:rPr>
          <w:rFonts w:eastAsiaTheme="minorHAnsi"/>
        </w:rPr>
        <w:t>Biology 307 (4)</w:t>
      </w:r>
    </w:p>
    <w:p w:rsidR="00253071" w:rsidRPr="00182494" w:rsidRDefault="00253071" w:rsidP="00253071">
      <w:pPr>
        <w:autoSpaceDE w:val="0"/>
        <w:autoSpaceDN w:val="0"/>
        <w:adjustRightInd w:val="0"/>
        <w:ind w:firstLine="720"/>
        <w:rPr>
          <w:rFonts w:eastAsiaTheme="minorHAnsi"/>
        </w:rPr>
      </w:pPr>
      <w:r w:rsidRPr="00182494">
        <w:rPr>
          <w:rFonts w:eastAsiaTheme="minorHAnsi"/>
        </w:rPr>
        <w:t>Elementary Statistics 147 (3)</w:t>
      </w:r>
    </w:p>
    <w:p w:rsidR="00253071" w:rsidRPr="00182494" w:rsidRDefault="00253071" w:rsidP="00253071">
      <w:pPr>
        <w:autoSpaceDE w:val="0"/>
        <w:autoSpaceDN w:val="0"/>
        <w:adjustRightInd w:val="0"/>
        <w:ind w:firstLine="720"/>
        <w:rPr>
          <w:rFonts w:eastAsiaTheme="minorHAnsi"/>
        </w:rPr>
      </w:pPr>
      <w:r w:rsidRPr="00182494">
        <w:rPr>
          <w:rFonts w:eastAsiaTheme="minorHAnsi"/>
        </w:rPr>
        <w:t>Human Environmental Sciences 342 (3)</w:t>
      </w:r>
    </w:p>
    <w:p w:rsidR="00253071" w:rsidRPr="00182494" w:rsidRDefault="00253071" w:rsidP="00253071">
      <w:pPr>
        <w:autoSpaceDE w:val="0"/>
        <w:autoSpaceDN w:val="0"/>
        <w:adjustRightInd w:val="0"/>
        <w:rPr>
          <w:rFonts w:eastAsiaTheme="minorHAnsi"/>
        </w:rPr>
      </w:pPr>
      <w:r w:rsidRPr="00182494">
        <w:rPr>
          <w:rFonts w:eastAsiaTheme="minorHAnsi"/>
        </w:rPr>
        <w:t xml:space="preserve">Remaining requirements to bring total to 23 semester hours </w:t>
      </w:r>
    </w:p>
    <w:p w:rsidR="00253071" w:rsidRPr="00182494" w:rsidRDefault="00253071" w:rsidP="00253071">
      <w:pPr>
        <w:autoSpaceDE w:val="0"/>
        <w:autoSpaceDN w:val="0"/>
        <w:adjustRightInd w:val="0"/>
        <w:rPr>
          <w:rFonts w:eastAsiaTheme="minorHAnsi"/>
        </w:rPr>
      </w:pPr>
      <w:r w:rsidRPr="00182494">
        <w:rPr>
          <w:rFonts w:eastAsiaTheme="minorHAnsi"/>
        </w:rPr>
        <w:t xml:space="preserve">(from nursing and general electives)                                                </w:t>
      </w:r>
      <w:r w:rsidR="00BE5793" w:rsidRPr="00182494">
        <w:rPr>
          <w:rFonts w:eastAsiaTheme="minorHAnsi"/>
        </w:rPr>
        <w:t xml:space="preserve">         </w:t>
      </w:r>
      <w:r w:rsidRPr="00182494">
        <w:rPr>
          <w:rFonts w:eastAsiaTheme="minorHAnsi"/>
          <w:u w:val="single"/>
        </w:rPr>
        <w:t>64</w:t>
      </w:r>
    </w:p>
    <w:p w:rsidR="00BE5793" w:rsidRPr="00182494" w:rsidRDefault="00BE5793" w:rsidP="00253071">
      <w:pPr>
        <w:autoSpaceDE w:val="0"/>
        <w:autoSpaceDN w:val="0"/>
        <w:adjustRightInd w:val="0"/>
        <w:rPr>
          <w:rFonts w:eastAsiaTheme="minorHAnsi"/>
        </w:rPr>
      </w:pPr>
    </w:p>
    <w:p w:rsidR="00253071" w:rsidRPr="00182494" w:rsidRDefault="00253071" w:rsidP="00253071">
      <w:pPr>
        <w:autoSpaceDE w:val="0"/>
        <w:autoSpaceDN w:val="0"/>
        <w:adjustRightInd w:val="0"/>
        <w:rPr>
          <w:rFonts w:eastAsiaTheme="minorHAnsi"/>
        </w:rPr>
      </w:pPr>
      <w:r w:rsidRPr="00182494">
        <w:rPr>
          <w:rFonts w:eastAsiaTheme="minorHAnsi"/>
        </w:rPr>
        <w:t>B. Major Core Requirements:</w:t>
      </w:r>
    </w:p>
    <w:p w:rsidR="00253071" w:rsidRPr="00182494" w:rsidRDefault="00253071" w:rsidP="00253071">
      <w:pPr>
        <w:autoSpaceDE w:val="0"/>
        <w:autoSpaceDN w:val="0"/>
        <w:adjustRightInd w:val="0"/>
        <w:rPr>
          <w:rFonts w:eastAsiaTheme="minorHAnsi"/>
        </w:rPr>
      </w:pPr>
      <w:r w:rsidRPr="00182494">
        <w:rPr>
          <w:rFonts w:eastAsiaTheme="minorHAnsi"/>
        </w:rPr>
        <w:t xml:space="preserve">Nursing 302R . . . . . . . . . . . . . . </w:t>
      </w:r>
      <w:r w:rsidR="00BE5793" w:rsidRPr="00182494">
        <w:rPr>
          <w:rFonts w:eastAsiaTheme="minorHAnsi"/>
        </w:rPr>
        <w:t>…..</w:t>
      </w:r>
      <w:r w:rsidRPr="00182494">
        <w:rPr>
          <w:rFonts w:eastAsiaTheme="minorHAnsi"/>
        </w:rPr>
        <w:t xml:space="preserve"> . . . . . . . . . . . . . . . . . . . . . . . . . . . . </w:t>
      </w:r>
      <w:r w:rsidR="00182494" w:rsidRPr="00182494">
        <w:rPr>
          <w:rFonts w:eastAsiaTheme="minorHAnsi"/>
        </w:rPr>
        <w:t>.</w:t>
      </w:r>
      <w:r w:rsidRPr="00182494">
        <w:rPr>
          <w:rFonts w:eastAsiaTheme="minorHAnsi"/>
        </w:rPr>
        <w:t>. 6</w:t>
      </w:r>
    </w:p>
    <w:p w:rsidR="00253071" w:rsidRPr="00182494" w:rsidRDefault="00253071" w:rsidP="00253071">
      <w:pPr>
        <w:autoSpaceDE w:val="0"/>
        <w:autoSpaceDN w:val="0"/>
        <w:adjustRightInd w:val="0"/>
        <w:rPr>
          <w:rFonts w:eastAsiaTheme="minorHAnsi"/>
        </w:rPr>
      </w:pPr>
      <w:r w:rsidRPr="00182494">
        <w:rPr>
          <w:rFonts w:eastAsiaTheme="minorHAnsi"/>
        </w:rPr>
        <w:t xml:space="preserve">Nursing 305R . . . . . . . . . . . . . . . . </w:t>
      </w:r>
      <w:r w:rsidR="00BE5793" w:rsidRPr="00182494">
        <w:rPr>
          <w:rFonts w:eastAsiaTheme="minorHAnsi"/>
        </w:rPr>
        <w:t>….</w:t>
      </w:r>
      <w:r w:rsidRPr="00182494">
        <w:rPr>
          <w:rFonts w:eastAsiaTheme="minorHAnsi"/>
        </w:rPr>
        <w:t xml:space="preserve">. . . . . . . . . . . . . . . . . . . . . . . . . . </w:t>
      </w:r>
      <w:r w:rsidR="00182494" w:rsidRPr="00182494">
        <w:rPr>
          <w:rFonts w:eastAsiaTheme="minorHAnsi"/>
        </w:rPr>
        <w:t>.</w:t>
      </w:r>
      <w:r w:rsidRPr="00182494">
        <w:rPr>
          <w:rFonts w:eastAsiaTheme="minorHAnsi"/>
        </w:rPr>
        <w:t>. . 3</w:t>
      </w:r>
    </w:p>
    <w:p w:rsidR="00253071" w:rsidRPr="00182494" w:rsidRDefault="00253071" w:rsidP="00253071">
      <w:pPr>
        <w:autoSpaceDE w:val="0"/>
        <w:autoSpaceDN w:val="0"/>
        <w:adjustRightInd w:val="0"/>
        <w:rPr>
          <w:rFonts w:eastAsiaTheme="minorHAnsi"/>
        </w:rPr>
      </w:pPr>
      <w:r w:rsidRPr="00182494">
        <w:rPr>
          <w:rFonts w:eastAsiaTheme="minorHAnsi"/>
        </w:rPr>
        <w:t xml:space="preserve">Nursing 411R . . . . . . . . . . . . . . . . </w:t>
      </w:r>
      <w:r w:rsidR="00BE5793" w:rsidRPr="00182494">
        <w:rPr>
          <w:rFonts w:eastAsiaTheme="minorHAnsi"/>
        </w:rPr>
        <w:t>….</w:t>
      </w:r>
      <w:r w:rsidRPr="00182494">
        <w:rPr>
          <w:rFonts w:eastAsiaTheme="minorHAnsi"/>
        </w:rPr>
        <w:t>. . . . . . . . . . . . . . . . . . . . . . . . .</w:t>
      </w:r>
      <w:r w:rsidR="00182494" w:rsidRPr="00182494">
        <w:rPr>
          <w:rFonts w:eastAsiaTheme="minorHAnsi"/>
        </w:rPr>
        <w:t>.</w:t>
      </w:r>
      <w:r w:rsidRPr="00182494">
        <w:rPr>
          <w:rFonts w:eastAsiaTheme="minorHAnsi"/>
        </w:rPr>
        <w:t xml:space="preserve"> </w:t>
      </w:r>
      <w:r w:rsidR="00182494" w:rsidRPr="00182494">
        <w:rPr>
          <w:rFonts w:eastAsiaTheme="minorHAnsi"/>
        </w:rPr>
        <w:t>.</w:t>
      </w:r>
      <w:r w:rsidRPr="00182494">
        <w:rPr>
          <w:rFonts w:eastAsiaTheme="minorHAnsi"/>
        </w:rPr>
        <w:t xml:space="preserve"> . . 6</w:t>
      </w:r>
    </w:p>
    <w:p w:rsidR="00253071" w:rsidRPr="00182494" w:rsidRDefault="00253071" w:rsidP="00253071">
      <w:pPr>
        <w:autoSpaceDE w:val="0"/>
        <w:autoSpaceDN w:val="0"/>
        <w:adjustRightInd w:val="0"/>
        <w:rPr>
          <w:rFonts w:eastAsiaTheme="minorHAnsi"/>
        </w:rPr>
      </w:pPr>
      <w:r w:rsidRPr="00182494">
        <w:rPr>
          <w:rFonts w:eastAsiaTheme="minorHAnsi"/>
        </w:rPr>
        <w:t xml:space="preserve">Nursing 416R . . . . . . . . . . . . . . . . </w:t>
      </w:r>
      <w:r w:rsidR="00BE5793" w:rsidRPr="00182494">
        <w:rPr>
          <w:rFonts w:eastAsiaTheme="minorHAnsi"/>
        </w:rPr>
        <w:t>….</w:t>
      </w:r>
      <w:r w:rsidRPr="00182494">
        <w:rPr>
          <w:rFonts w:eastAsiaTheme="minorHAnsi"/>
        </w:rPr>
        <w:t>. . . . . . . . . . . . . . . . . . . . . . . . .</w:t>
      </w:r>
      <w:r w:rsidR="00182494" w:rsidRPr="00182494">
        <w:rPr>
          <w:rFonts w:eastAsiaTheme="minorHAnsi"/>
        </w:rPr>
        <w:t>.</w:t>
      </w:r>
      <w:r w:rsidRPr="00182494">
        <w:rPr>
          <w:rFonts w:eastAsiaTheme="minorHAnsi"/>
        </w:rPr>
        <w:t xml:space="preserve"> . . . 6</w:t>
      </w:r>
    </w:p>
    <w:p w:rsidR="00253071" w:rsidRPr="00182494" w:rsidRDefault="00253071" w:rsidP="00182494">
      <w:pPr>
        <w:tabs>
          <w:tab w:val="left" w:pos="6930"/>
          <w:tab w:val="left" w:pos="7020"/>
        </w:tabs>
        <w:autoSpaceDE w:val="0"/>
        <w:autoSpaceDN w:val="0"/>
        <w:adjustRightInd w:val="0"/>
        <w:rPr>
          <w:rFonts w:eastAsiaTheme="minorHAnsi"/>
        </w:rPr>
      </w:pPr>
      <w:r w:rsidRPr="00182494">
        <w:rPr>
          <w:rFonts w:eastAsiaTheme="minorHAnsi"/>
          <w:b/>
        </w:rPr>
        <w:t>Option I or II</w:t>
      </w:r>
      <w:r w:rsidRPr="00182494">
        <w:rPr>
          <w:rFonts w:eastAsiaTheme="minorHAnsi"/>
        </w:rPr>
        <w:t xml:space="preserve"> . . . . . . . . . . . . . . . . . </w:t>
      </w:r>
      <w:r w:rsidR="00BE5793" w:rsidRPr="00182494">
        <w:rPr>
          <w:rFonts w:eastAsiaTheme="minorHAnsi"/>
        </w:rPr>
        <w:t>….</w:t>
      </w:r>
      <w:r w:rsidRPr="00182494">
        <w:rPr>
          <w:rFonts w:eastAsiaTheme="minorHAnsi"/>
        </w:rPr>
        <w:t>. . . . . . . . . . . . . . . . . . . . . . . .</w:t>
      </w:r>
      <w:r w:rsidR="00182494" w:rsidRPr="00182494">
        <w:rPr>
          <w:rFonts w:eastAsiaTheme="minorHAnsi"/>
        </w:rPr>
        <w:t>.</w:t>
      </w:r>
      <w:r w:rsidRPr="00182494">
        <w:rPr>
          <w:rFonts w:eastAsiaTheme="minorHAnsi"/>
        </w:rPr>
        <w:t>. . . 9</w:t>
      </w:r>
    </w:p>
    <w:p w:rsidR="00253071" w:rsidRPr="00182494" w:rsidRDefault="00182494" w:rsidP="00253071">
      <w:pPr>
        <w:autoSpaceDE w:val="0"/>
        <w:autoSpaceDN w:val="0"/>
        <w:adjustRightInd w:val="0"/>
        <w:rPr>
          <w:rFonts w:eastAsiaTheme="minorHAnsi"/>
        </w:rPr>
      </w:pPr>
      <w:r w:rsidRPr="00182494">
        <w:rPr>
          <w:rFonts w:eastAsiaTheme="minorHAnsi"/>
        </w:rPr>
        <w:t xml:space="preserve"> </w:t>
      </w:r>
      <w:r w:rsidR="00BE5793" w:rsidRPr="00182494">
        <w:rPr>
          <w:rFonts w:eastAsiaTheme="minorHAnsi"/>
        </w:rPr>
        <w:t xml:space="preserve">                                                                                   </w:t>
      </w:r>
      <w:r w:rsidRPr="00182494">
        <w:rPr>
          <w:rFonts w:eastAsiaTheme="minorHAnsi"/>
        </w:rPr>
        <w:t>.</w:t>
      </w:r>
    </w:p>
    <w:p w:rsidR="00BE5793" w:rsidRPr="00182494" w:rsidRDefault="00BE5793" w:rsidP="00BE5793">
      <w:pPr>
        <w:autoSpaceDE w:val="0"/>
        <w:autoSpaceDN w:val="0"/>
        <w:adjustRightInd w:val="0"/>
        <w:rPr>
          <w:rFonts w:eastAsiaTheme="minorHAnsi"/>
        </w:rPr>
      </w:pPr>
      <w:r w:rsidRPr="00182494">
        <w:rPr>
          <w:rFonts w:eastAsiaTheme="minorHAnsi"/>
        </w:rPr>
        <w:t>Upon successful completion of one semester of nursing</w:t>
      </w:r>
    </w:p>
    <w:p w:rsidR="00BE5793" w:rsidRPr="00182494" w:rsidRDefault="00BE5793" w:rsidP="00BE5793">
      <w:pPr>
        <w:autoSpaceDE w:val="0"/>
        <w:autoSpaceDN w:val="0"/>
        <w:adjustRightInd w:val="0"/>
        <w:rPr>
          <w:rFonts w:eastAsiaTheme="minorHAnsi"/>
        </w:rPr>
      </w:pPr>
      <w:r w:rsidRPr="00182494">
        <w:rPr>
          <w:rFonts w:eastAsiaTheme="minorHAnsi"/>
        </w:rPr>
        <w:t>coursework, CLEP credit for 30 hrs of transfer nursing courses</w:t>
      </w:r>
    </w:p>
    <w:p w:rsidR="00BE5793" w:rsidRPr="00182494" w:rsidRDefault="00BE5793" w:rsidP="00BE5793">
      <w:pPr>
        <w:autoSpaceDE w:val="0"/>
        <w:autoSpaceDN w:val="0"/>
        <w:adjustRightInd w:val="0"/>
        <w:rPr>
          <w:rFonts w:eastAsiaTheme="minorHAnsi"/>
          <w:u w:val="single"/>
        </w:rPr>
      </w:pPr>
      <w:r w:rsidRPr="00182494">
        <w:rPr>
          <w:rFonts w:eastAsiaTheme="minorHAnsi"/>
        </w:rPr>
        <w:t xml:space="preserve">will be awarded to the student                                                                   </w:t>
      </w:r>
      <w:r w:rsidRPr="00182494">
        <w:rPr>
          <w:rFonts w:eastAsiaTheme="minorHAnsi"/>
          <w:u w:val="single"/>
        </w:rPr>
        <w:t>30</w:t>
      </w:r>
    </w:p>
    <w:p w:rsidR="00BE5793" w:rsidRPr="00182494" w:rsidRDefault="00BE5793" w:rsidP="00BE5793">
      <w:pPr>
        <w:autoSpaceDE w:val="0"/>
        <w:autoSpaceDN w:val="0"/>
        <w:adjustRightInd w:val="0"/>
        <w:rPr>
          <w:rFonts w:eastAsiaTheme="minorHAnsi"/>
        </w:rPr>
      </w:pPr>
      <w:r w:rsidRPr="00182494">
        <w:rPr>
          <w:rFonts w:eastAsiaTheme="minorHAnsi"/>
        </w:rPr>
        <w:t xml:space="preserve">                                                                                                                   60</w:t>
      </w:r>
    </w:p>
    <w:p w:rsidR="00BE5793" w:rsidRPr="00182494" w:rsidRDefault="00BE5793" w:rsidP="00253071">
      <w:pPr>
        <w:autoSpaceDE w:val="0"/>
        <w:autoSpaceDN w:val="0"/>
        <w:adjustRightInd w:val="0"/>
        <w:rPr>
          <w:rFonts w:eastAsiaTheme="minorHAnsi"/>
        </w:rPr>
      </w:pPr>
    </w:p>
    <w:p w:rsidR="00253071" w:rsidRPr="00182494" w:rsidRDefault="00253071" w:rsidP="00253071">
      <w:pPr>
        <w:autoSpaceDE w:val="0"/>
        <w:autoSpaceDN w:val="0"/>
        <w:adjustRightInd w:val="0"/>
        <w:rPr>
          <w:rFonts w:eastAsiaTheme="minorHAnsi"/>
          <w:b/>
        </w:rPr>
      </w:pPr>
      <w:r w:rsidRPr="00182494">
        <w:rPr>
          <w:rFonts w:eastAsiaTheme="minorHAnsi"/>
          <w:b/>
        </w:rPr>
        <w:t>Option I – RN-to-BSN</w:t>
      </w:r>
    </w:p>
    <w:p w:rsidR="00253071" w:rsidRPr="00182494" w:rsidRDefault="00253071" w:rsidP="00253071">
      <w:pPr>
        <w:autoSpaceDE w:val="0"/>
        <w:autoSpaceDN w:val="0"/>
        <w:adjustRightInd w:val="0"/>
        <w:rPr>
          <w:rFonts w:eastAsiaTheme="minorHAnsi"/>
        </w:rPr>
      </w:pPr>
      <w:r w:rsidRPr="00182494">
        <w:rPr>
          <w:rFonts w:eastAsiaTheme="minorHAnsi"/>
        </w:rPr>
        <w:t xml:space="preserve">NU 303R . . . . . . . . . . . . . . . . . . . . . . . . . . . . . . . . . . . . . . . . . . . . . . . . </w:t>
      </w:r>
      <w:r w:rsidR="00182494" w:rsidRPr="00182494">
        <w:rPr>
          <w:rFonts w:eastAsiaTheme="minorHAnsi"/>
        </w:rPr>
        <w:t>….</w:t>
      </w:r>
      <w:r w:rsidRPr="00182494">
        <w:rPr>
          <w:rFonts w:eastAsiaTheme="minorHAnsi"/>
        </w:rPr>
        <w:t>3</w:t>
      </w:r>
    </w:p>
    <w:p w:rsidR="00253071" w:rsidRPr="00182494" w:rsidRDefault="00253071" w:rsidP="00182494">
      <w:pPr>
        <w:tabs>
          <w:tab w:val="left" w:pos="6210"/>
        </w:tabs>
        <w:autoSpaceDE w:val="0"/>
        <w:autoSpaceDN w:val="0"/>
        <w:adjustRightInd w:val="0"/>
        <w:rPr>
          <w:rFonts w:eastAsiaTheme="minorHAnsi"/>
        </w:rPr>
      </w:pPr>
      <w:r w:rsidRPr="00182494">
        <w:rPr>
          <w:rFonts w:eastAsiaTheme="minorHAnsi"/>
        </w:rPr>
        <w:t xml:space="preserve">NU 418R . . . . . . . . . . . . . . . . . . . . . . . . . . . . . . . . . . . . . . . . . . . . . </w:t>
      </w:r>
      <w:r w:rsidR="00182494" w:rsidRPr="00182494">
        <w:rPr>
          <w:rFonts w:eastAsiaTheme="minorHAnsi"/>
        </w:rPr>
        <w:t xml:space="preserve">…... . </w:t>
      </w:r>
      <w:r w:rsidRPr="00182494">
        <w:rPr>
          <w:rFonts w:eastAsiaTheme="minorHAnsi"/>
        </w:rPr>
        <w:t xml:space="preserve"> 6</w:t>
      </w:r>
    </w:p>
    <w:p w:rsidR="00182494" w:rsidRPr="00182494" w:rsidRDefault="00182494" w:rsidP="00253071">
      <w:pPr>
        <w:autoSpaceDE w:val="0"/>
        <w:autoSpaceDN w:val="0"/>
        <w:adjustRightInd w:val="0"/>
        <w:rPr>
          <w:rFonts w:eastAsiaTheme="minorHAnsi"/>
        </w:rPr>
      </w:pPr>
    </w:p>
    <w:p w:rsidR="00253071" w:rsidRPr="00182494" w:rsidRDefault="00253071" w:rsidP="00253071">
      <w:pPr>
        <w:autoSpaceDE w:val="0"/>
        <w:autoSpaceDN w:val="0"/>
        <w:adjustRightInd w:val="0"/>
        <w:rPr>
          <w:rFonts w:eastAsiaTheme="minorHAnsi"/>
          <w:b/>
        </w:rPr>
      </w:pPr>
      <w:r w:rsidRPr="00182494">
        <w:rPr>
          <w:rFonts w:eastAsiaTheme="minorHAnsi"/>
          <w:b/>
        </w:rPr>
        <w:t>O</w:t>
      </w:r>
      <w:r w:rsidR="00674558">
        <w:rPr>
          <w:rFonts w:eastAsiaTheme="minorHAnsi"/>
          <w:b/>
        </w:rPr>
        <w:t xml:space="preserve">ption II – RN-to-MSN </w:t>
      </w:r>
    </w:p>
    <w:p w:rsidR="00253071" w:rsidRPr="00182494" w:rsidRDefault="00253071" w:rsidP="00253071">
      <w:pPr>
        <w:autoSpaceDE w:val="0"/>
        <w:autoSpaceDN w:val="0"/>
        <w:adjustRightInd w:val="0"/>
        <w:rPr>
          <w:rFonts w:eastAsiaTheme="minorHAnsi"/>
        </w:rPr>
      </w:pPr>
      <w:r w:rsidRPr="00182494">
        <w:rPr>
          <w:rFonts w:eastAsiaTheme="minorHAnsi"/>
        </w:rPr>
        <w:t xml:space="preserve">NU 501** . . . . . . . . . . . . . . . . . . . . . . . . . . . . . . . . . . . . . . . . . . . . . . </w:t>
      </w:r>
      <w:r w:rsidR="00182494" w:rsidRPr="00182494">
        <w:rPr>
          <w:rFonts w:eastAsiaTheme="minorHAnsi"/>
        </w:rPr>
        <w:t>…..</w:t>
      </w:r>
      <w:r w:rsidR="00182494">
        <w:rPr>
          <w:rFonts w:eastAsiaTheme="minorHAnsi"/>
        </w:rPr>
        <w:t>. .</w:t>
      </w:r>
      <w:r w:rsidRPr="00182494">
        <w:rPr>
          <w:rFonts w:eastAsiaTheme="minorHAnsi"/>
        </w:rPr>
        <w:t>3</w:t>
      </w:r>
    </w:p>
    <w:p w:rsidR="00253071" w:rsidRPr="00182494" w:rsidRDefault="00253071" w:rsidP="00253071">
      <w:pPr>
        <w:autoSpaceDE w:val="0"/>
        <w:autoSpaceDN w:val="0"/>
        <w:adjustRightInd w:val="0"/>
        <w:rPr>
          <w:rFonts w:eastAsiaTheme="minorHAnsi"/>
        </w:rPr>
      </w:pPr>
      <w:r w:rsidRPr="00182494">
        <w:rPr>
          <w:rFonts w:eastAsiaTheme="minorHAnsi"/>
        </w:rPr>
        <w:t xml:space="preserve">NU 503** . . . . . . . . . . . . . . . . . . . . . . . . . . . . . . . . . . . . . . . . . . . . </w:t>
      </w:r>
      <w:r w:rsidR="00182494" w:rsidRPr="00182494">
        <w:rPr>
          <w:rFonts w:eastAsiaTheme="minorHAnsi"/>
        </w:rPr>
        <w:t>……</w:t>
      </w:r>
      <w:r w:rsidRPr="00182494">
        <w:rPr>
          <w:rFonts w:eastAsiaTheme="minorHAnsi"/>
        </w:rPr>
        <w:t xml:space="preserve"> . . 3</w:t>
      </w:r>
    </w:p>
    <w:p w:rsidR="00253071" w:rsidRPr="00182494" w:rsidRDefault="00253071" w:rsidP="00253071">
      <w:pPr>
        <w:autoSpaceDE w:val="0"/>
        <w:autoSpaceDN w:val="0"/>
        <w:adjustRightInd w:val="0"/>
        <w:rPr>
          <w:rFonts w:eastAsiaTheme="minorHAnsi"/>
        </w:rPr>
      </w:pPr>
      <w:r w:rsidRPr="00182494">
        <w:rPr>
          <w:rFonts w:eastAsiaTheme="minorHAnsi"/>
        </w:rPr>
        <w:t xml:space="preserve">NU 601** . . . . . . . . . . . . . . . . . . . . . . . . . . . . . . . . . . . . . . . . . . . . </w:t>
      </w:r>
      <w:r w:rsidR="00182494" w:rsidRPr="00182494">
        <w:rPr>
          <w:rFonts w:eastAsiaTheme="minorHAnsi"/>
        </w:rPr>
        <w:t>……</w:t>
      </w:r>
      <w:r w:rsidRPr="00182494">
        <w:rPr>
          <w:rFonts w:eastAsiaTheme="minorHAnsi"/>
        </w:rPr>
        <w:t xml:space="preserve"> . . 3</w:t>
      </w:r>
    </w:p>
    <w:p w:rsidR="00253071" w:rsidRPr="00182494" w:rsidRDefault="00253071" w:rsidP="00253071">
      <w:pPr>
        <w:autoSpaceDE w:val="0"/>
        <w:autoSpaceDN w:val="0"/>
        <w:adjustRightInd w:val="0"/>
        <w:rPr>
          <w:rFonts w:eastAsiaTheme="minorHAnsi"/>
        </w:rPr>
      </w:pPr>
      <w:r w:rsidRPr="00182494">
        <w:rPr>
          <w:rFonts w:eastAsiaTheme="minorHAnsi"/>
        </w:rPr>
        <w:t>C. A minor is not required.</w:t>
      </w:r>
    </w:p>
    <w:p w:rsidR="00182494" w:rsidRPr="00182494" w:rsidRDefault="00253071" w:rsidP="00182494">
      <w:pPr>
        <w:autoSpaceDE w:val="0"/>
        <w:autoSpaceDN w:val="0"/>
        <w:adjustRightInd w:val="0"/>
        <w:rPr>
          <w:rFonts w:eastAsiaTheme="minorHAnsi"/>
        </w:rPr>
      </w:pPr>
      <w:r w:rsidRPr="00182494">
        <w:rPr>
          <w:rFonts w:eastAsiaTheme="minorHAnsi"/>
        </w:rPr>
        <w:t xml:space="preserve">D. General Elective hours . . . . . . . . . . . . . . . . . . . . . . . . . . . . . . . . . . </w:t>
      </w:r>
      <w:r w:rsidR="00182494" w:rsidRPr="00182494">
        <w:rPr>
          <w:rFonts w:eastAsiaTheme="minorHAnsi"/>
        </w:rPr>
        <w:t>……</w:t>
      </w:r>
      <w:r w:rsidR="00182494" w:rsidRPr="00182494">
        <w:rPr>
          <w:rFonts w:eastAsiaTheme="minorHAnsi"/>
          <w:u w:val="single"/>
        </w:rPr>
        <w:t>4</w:t>
      </w:r>
    </w:p>
    <w:p w:rsidR="00253071" w:rsidRPr="00182494" w:rsidRDefault="00182494" w:rsidP="00182494">
      <w:pPr>
        <w:autoSpaceDE w:val="0"/>
        <w:autoSpaceDN w:val="0"/>
        <w:adjustRightInd w:val="0"/>
        <w:rPr>
          <w:rFonts w:eastAsiaTheme="minorHAnsi"/>
          <w:b/>
        </w:rPr>
      </w:pPr>
      <w:r w:rsidRPr="00182494">
        <w:rPr>
          <w:rFonts w:eastAsiaTheme="minorHAnsi"/>
        </w:rPr>
        <w:t xml:space="preserve">                                                                                                         </w:t>
      </w:r>
      <w:r w:rsidR="00253071" w:rsidRPr="00182494">
        <w:rPr>
          <w:rFonts w:eastAsiaTheme="minorHAnsi"/>
          <w:b/>
        </w:rPr>
        <w:t>Total 128</w:t>
      </w:r>
    </w:p>
    <w:p w:rsidR="00AD24D4" w:rsidRPr="00AD24D4" w:rsidRDefault="00AD24D4" w:rsidP="00AD24D4">
      <w:pPr>
        <w:rPr>
          <w:b/>
        </w:rPr>
      </w:pPr>
    </w:p>
    <w:p w:rsidR="00AD24D4" w:rsidRDefault="00AD24D4" w:rsidP="00AD24D4"/>
    <w:p w:rsidR="00831E30" w:rsidRDefault="00831E30" w:rsidP="00AD24D4"/>
    <w:p w:rsidR="00831E30" w:rsidRDefault="00831E30" w:rsidP="00AD24D4"/>
    <w:p w:rsidR="0044450A" w:rsidRDefault="0044450A" w:rsidP="00AD24D4"/>
    <w:p w:rsidR="0044450A" w:rsidRDefault="0044450A" w:rsidP="00AD24D4"/>
    <w:p w:rsidR="007D4FD2" w:rsidRDefault="007D4FD2" w:rsidP="00AD24D4">
      <w:pPr>
        <w:rPr>
          <w:b/>
        </w:rPr>
      </w:pPr>
    </w:p>
    <w:p w:rsidR="0044450A" w:rsidRPr="0044450A" w:rsidRDefault="0044450A" w:rsidP="00AD24D4">
      <w:pPr>
        <w:rPr>
          <w:b/>
        </w:rPr>
      </w:pPr>
      <w:r w:rsidRPr="0044450A">
        <w:rPr>
          <w:b/>
        </w:rPr>
        <w:lastRenderedPageBreak/>
        <w:t>Curriculum Requirements for the MSN degree.</w:t>
      </w:r>
    </w:p>
    <w:p w:rsidR="0044450A" w:rsidRDefault="007D4FD2" w:rsidP="007D4FD2">
      <w:r>
        <w:rPr>
          <w:sz w:val="23"/>
          <w:szCs w:val="23"/>
        </w:rPr>
        <w:t>The MSN degree is a 42-hour program for both the Teaching/Learning track and the Leadership track</w:t>
      </w:r>
    </w:p>
    <w:p w:rsidR="0044450A" w:rsidRPr="0044450A" w:rsidRDefault="0044450A" w:rsidP="0044450A">
      <w:pPr>
        <w:shd w:val="clear" w:color="auto" w:fill="FFFFFF"/>
        <w:spacing w:before="100" w:beforeAutospacing="1" w:after="100" w:afterAutospacing="1"/>
        <w:ind w:left="720"/>
        <w:outlineLvl w:val="3"/>
        <w:rPr>
          <w:b/>
          <w:bCs/>
          <w:color w:val="000000" w:themeColor="text1"/>
        </w:rPr>
      </w:pPr>
      <w:r w:rsidRPr="0044450A">
        <w:rPr>
          <w:b/>
          <w:bCs/>
          <w:color w:val="000000" w:themeColor="text1"/>
        </w:rPr>
        <w:t>Teaching-Learning Track</w:t>
      </w:r>
    </w:p>
    <w:p w:rsidR="0044450A" w:rsidRPr="0044450A" w:rsidRDefault="0044450A" w:rsidP="0044450A">
      <w:pPr>
        <w:shd w:val="clear" w:color="auto" w:fill="FFFFFF"/>
        <w:spacing w:before="100" w:beforeAutospacing="1" w:after="100" w:afterAutospacing="1"/>
        <w:ind w:left="720"/>
        <w:rPr>
          <w:color w:val="000000" w:themeColor="text1"/>
        </w:rPr>
      </w:pPr>
      <w:r w:rsidRPr="0044450A">
        <w:rPr>
          <w:color w:val="000000" w:themeColor="text1"/>
        </w:rPr>
        <w:t>NU 503 Advanced Nursing Theory (3)</w:t>
      </w:r>
      <w:r w:rsidRPr="0044450A">
        <w:rPr>
          <w:color w:val="000000" w:themeColor="text1"/>
        </w:rPr>
        <w:br/>
        <w:t xml:space="preserve">NU 603 Health Promotion Across the Life Span (3) </w:t>
      </w:r>
      <w:r w:rsidRPr="0044450A">
        <w:rPr>
          <w:color w:val="000000" w:themeColor="text1"/>
        </w:rPr>
        <w:br/>
        <w:t xml:space="preserve">NU 604 Human Diversity and Ethics (3)* </w:t>
      </w:r>
      <w:r w:rsidRPr="0044450A">
        <w:rPr>
          <w:color w:val="000000" w:themeColor="text1"/>
        </w:rPr>
        <w:br/>
        <w:t>NU 501 Advanced Nursing Research (3)</w:t>
      </w:r>
      <w:r w:rsidRPr="0044450A">
        <w:rPr>
          <w:color w:val="000000" w:themeColor="text1"/>
        </w:rPr>
        <w:br/>
        <w:t>NU 601 Health Policy &amp; Social Issues (3)</w:t>
      </w:r>
      <w:r w:rsidRPr="0044450A">
        <w:rPr>
          <w:color w:val="000000" w:themeColor="text1"/>
        </w:rPr>
        <w:br/>
        <w:t>NU 600 Psychology of Learning in Nursing (3)</w:t>
      </w:r>
      <w:r w:rsidRPr="0044450A">
        <w:rPr>
          <w:color w:val="000000" w:themeColor="text1"/>
        </w:rPr>
        <w:br/>
        <w:t xml:space="preserve">NU 602 Advanced Role Development (3) </w:t>
      </w:r>
      <w:r w:rsidRPr="0044450A">
        <w:rPr>
          <w:color w:val="000000" w:themeColor="text1"/>
        </w:rPr>
        <w:br/>
        <w:t xml:space="preserve">ED 655 Evaluation of Modern Learning (3)* </w:t>
      </w:r>
      <w:r w:rsidRPr="0044450A">
        <w:rPr>
          <w:color w:val="000000" w:themeColor="text1"/>
        </w:rPr>
        <w:br/>
        <w:t xml:space="preserve">NU 610 Teaching the Health Care Consumer (6) </w:t>
      </w:r>
      <w:r w:rsidRPr="0044450A">
        <w:rPr>
          <w:color w:val="000000" w:themeColor="text1"/>
        </w:rPr>
        <w:br/>
        <w:t xml:space="preserve">ED 605 Curriculum Development (3))* </w:t>
      </w:r>
      <w:r w:rsidRPr="0044450A">
        <w:rPr>
          <w:color w:val="000000" w:themeColor="text1"/>
        </w:rPr>
        <w:br/>
        <w:t xml:space="preserve">NU 611 Teaching the Health Care Provider (6) </w:t>
      </w:r>
      <w:r w:rsidRPr="0044450A">
        <w:rPr>
          <w:color w:val="000000" w:themeColor="text1"/>
        </w:rPr>
        <w:br/>
        <w:t>NU 699 Capstone Project (3)</w:t>
      </w:r>
      <w:r w:rsidRPr="0044450A">
        <w:rPr>
          <w:color w:val="000000" w:themeColor="text1"/>
        </w:rPr>
        <w:br/>
      </w:r>
    </w:p>
    <w:p w:rsidR="0044450A" w:rsidRPr="0044450A" w:rsidRDefault="0044450A" w:rsidP="0044450A">
      <w:pPr>
        <w:shd w:val="clear" w:color="auto" w:fill="FFFFFF"/>
        <w:spacing w:before="100" w:beforeAutospacing="1" w:after="100" w:afterAutospacing="1"/>
        <w:ind w:left="720"/>
        <w:outlineLvl w:val="3"/>
        <w:rPr>
          <w:b/>
          <w:bCs/>
          <w:color w:val="000000" w:themeColor="text1"/>
        </w:rPr>
      </w:pPr>
      <w:r w:rsidRPr="0044450A">
        <w:rPr>
          <w:b/>
          <w:bCs/>
          <w:color w:val="000000" w:themeColor="text1"/>
        </w:rPr>
        <w:t>Leadership Track</w:t>
      </w:r>
    </w:p>
    <w:p w:rsidR="0044450A" w:rsidRPr="0044450A" w:rsidRDefault="0044450A" w:rsidP="0044450A">
      <w:pPr>
        <w:shd w:val="clear" w:color="auto" w:fill="FFFFFF"/>
        <w:spacing w:before="100" w:beforeAutospacing="1" w:after="100" w:afterAutospacing="1"/>
        <w:ind w:left="720"/>
        <w:rPr>
          <w:color w:val="000000" w:themeColor="text1"/>
        </w:rPr>
      </w:pPr>
      <w:r w:rsidRPr="0044450A">
        <w:rPr>
          <w:color w:val="000000" w:themeColor="text1"/>
        </w:rPr>
        <w:t>NU 503 Advanced Nursing Theory (3)</w:t>
      </w:r>
      <w:r w:rsidRPr="0044450A">
        <w:rPr>
          <w:color w:val="000000" w:themeColor="text1"/>
        </w:rPr>
        <w:br/>
        <w:t>NU 603 Health Promotion Across the Life Span (3)</w:t>
      </w:r>
      <w:r w:rsidRPr="0044450A">
        <w:rPr>
          <w:color w:val="000000" w:themeColor="text1"/>
        </w:rPr>
        <w:br/>
        <w:t>NU 604 Human Diversity and Ethics (3)*</w:t>
      </w:r>
      <w:r>
        <w:rPr>
          <w:color w:val="000000" w:themeColor="text1"/>
        </w:rPr>
        <w:br/>
      </w:r>
      <w:r w:rsidRPr="0044450A">
        <w:rPr>
          <w:color w:val="000000" w:themeColor="text1"/>
        </w:rPr>
        <w:t>NU 501 Advanced Nursing Research (3)</w:t>
      </w:r>
      <w:r w:rsidRPr="0044450A">
        <w:rPr>
          <w:color w:val="000000" w:themeColor="text1"/>
        </w:rPr>
        <w:br/>
        <w:t>NU 601 Health Policy &amp; Social Issues (3)</w:t>
      </w:r>
      <w:r w:rsidRPr="0044450A">
        <w:rPr>
          <w:color w:val="000000" w:themeColor="text1"/>
        </w:rPr>
        <w:br/>
        <w:t>EMB 504 Statistical Concepts (3)*</w:t>
      </w:r>
      <w:r w:rsidRPr="0044450A">
        <w:rPr>
          <w:color w:val="000000" w:themeColor="text1"/>
        </w:rPr>
        <w:br/>
        <w:t>NU 602 Advanced Role Development(3)</w:t>
      </w:r>
      <w:r w:rsidRPr="0044450A">
        <w:rPr>
          <w:color w:val="000000" w:themeColor="text1"/>
        </w:rPr>
        <w:br/>
        <w:t>NU 504 Business Concepts for Nurses (3)</w:t>
      </w:r>
      <w:r w:rsidRPr="0044450A">
        <w:rPr>
          <w:color w:val="000000" w:themeColor="text1"/>
        </w:rPr>
        <w:br/>
        <w:t>NU 612 The Nurse Manager (6)</w:t>
      </w:r>
      <w:r w:rsidRPr="0044450A">
        <w:rPr>
          <w:color w:val="000000" w:themeColor="text1"/>
        </w:rPr>
        <w:br/>
      </w:r>
      <w:r>
        <w:rPr>
          <w:color w:val="000000" w:themeColor="text1"/>
        </w:rPr>
        <w:t>NU 505 Strategic Planning &amp;</w:t>
      </w:r>
      <w:r w:rsidRPr="0044450A">
        <w:rPr>
          <w:color w:val="000000" w:themeColor="text1"/>
        </w:rPr>
        <w:t xml:space="preserve"> Communication In Health Care Environments (3)</w:t>
      </w:r>
      <w:r w:rsidRPr="0044450A">
        <w:rPr>
          <w:color w:val="000000" w:themeColor="text1"/>
        </w:rPr>
        <w:br/>
        <w:t>NU 613 The Nurse Executive (6)</w:t>
      </w:r>
      <w:r w:rsidRPr="0044450A">
        <w:rPr>
          <w:color w:val="000000" w:themeColor="text1"/>
        </w:rPr>
        <w:br/>
        <w:t>NU 699 Capstone Project (3)</w:t>
      </w:r>
    </w:p>
    <w:p w:rsidR="0044450A" w:rsidRPr="0044450A" w:rsidRDefault="0044450A" w:rsidP="0044450A">
      <w:pPr>
        <w:shd w:val="clear" w:color="auto" w:fill="FFFFFF"/>
        <w:spacing w:before="100" w:beforeAutospacing="1" w:after="100" w:afterAutospacing="1"/>
        <w:ind w:left="720"/>
        <w:rPr>
          <w:color w:val="000000" w:themeColor="text1"/>
        </w:rPr>
      </w:pPr>
      <w:r w:rsidRPr="0044450A">
        <w:rPr>
          <w:color w:val="000000" w:themeColor="text1"/>
        </w:rPr>
        <w:t>*Taught via JSU’s online nursing program</w:t>
      </w:r>
    </w:p>
    <w:p w:rsidR="0044450A" w:rsidRDefault="0044450A" w:rsidP="00AD24D4"/>
    <w:p w:rsidR="0044450A" w:rsidRDefault="0044450A" w:rsidP="00AD24D4"/>
    <w:p w:rsidR="003015A3" w:rsidRDefault="003015A3" w:rsidP="0044450A">
      <w:pPr>
        <w:rPr>
          <w:b/>
        </w:rPr>
      </w:pPr>
      <w:r w:rsidRPr="0044450A">
        <w:rPr>
          <w:b/>
        </w:rPr>
        <w:t>Associated institutes and centers</w:t>
      </w:r>
    </w:p>
    <w:p w:rsidR="0044450A" w:rsidRDefault="00CD4CE6" w:rsidP="0044450A">
      <w:pPr>
        <w:rPr>
          <w:b/>
        </w:rPr>
      </w:pPr>
      <w:r>
        <w:rPr>
          <w:b/>
        </w:rPr>
        <w:tab/>
        <w:t>N/A</w:t>
      </w:r>
    </w:p>
    <w:p w:rsidR="00CD4CE6" w:rsidRPr="0044450A" w:rsidRDefault="00CD4CE6" w:rsidP="0044450A">
      <w:pPr>
        <w:tabs>
          <w:tab w:val="num" w:pos="1080"/>
        </w:tabs>
        <w:rPr>
          <w:b/>
        </w:rPr>
      </w:pPr>
    </w:p>
    <w:p w:rsidR="003015A3" w:rsidRDefault="003015A3" w:rsidP="00CD4CE6">
      <w:pPr>
        <w:tabs>
          <w:tab w:val="num" w:pos="1080"/>
        </w:tabs>
        <w:rPr>
          <w:b/>
        </w:rPr>
      </w:pPr>
      <w:r w:rsidRPr="00CD4CE6">
        <w:rPr>
          <w:b/>
        </w:rPr>
        <w:t>Involvement of external constituents in establishing goals, objectives, learning outcome and curriculum</w:t>
      </w:r>
    </w:p>
    <w:p w:rsidR="00CD4CE6" w:rsidRDefault="00CD4CE6" w:rsidP="00CD4CE6">
      <w:pPr>
        <w:tabs>
          <w:tab w:val="num" w:pos="1080"/>
        </w:tabs>
        <w:rPr>
          <w:b/>
        </w:rPr>
      </w:pPr>
      <w:r>
        <w:rPr>
          <w:b/>
        </w:rPr>
        <w:t xml:space="preserve">            N/A</w:t>
      </w:r>
    </w:p>
    <w:p w:rsidR="00CD4CE6" w:rsidRDefault="00CD4CE6" w:rsidP="00CD4CE6">
      <w:pPr>
        <w:tabs>
          <w:tab w:val="num" w:pos="1080"/>
        </w:tabs>
        <w:rPr>
          <w:b/>
        </w:rPr>
      </w:pPr>
    </w:p>
    <w:p w:rsidR="00CD4CE6" w:rsidRDefault="00CD4CE6" w:rsidP="00CD4CE6">
      <w:pPr>
        <w:tabs>
          <w:tab w:val="num" w:pos="1080"/>
        </w:tabs>
        <w:rPr>
          <w:b/>
        </w:rPr>
      </w:pPr>
    </w:p>
    <w:p w:rsidR="00CD4CE6" w:rsidRPr="00CD4CE6" w:rsidRDefault="00CD4CE6" w:rsidP="00CD4CE6">
      <w:pPr>
        <w:tabs>
          <w:tab w:val="num" w:pos="1080"/>
        </w:tabs>
        <w:rPr>
          <w:b/>
        </w:rPr>
      </w:pPr>
    </w:p>
    <w:p w:rsidR="00CD4CE6" w:rsidRDefault="003015A3" w:rsidP="00CD4CE6">
      <w:pPr>
        <w:tabs>
          <w:tab w:val="num" w:pos="1080"/>
        </w:tabs>
        <w:rPr>
          <w:b/>
        </w:rPr>
      </w:pPr>
      <w:r w:rsidRPr="00CD4CE6">
        <w:rPr>
          <w:b/>
        </w:rPr>
        <w:t>Community college articulation where appropriate</w:t>
      </w:r>
      <w:r w:rsidR="00CD4CE6">
        <w:rPr>
          <w:b/>
        </w:rPr>
        <w:br/>
      </w:r>
      <w:r w:rsidR="00CD4CE6">
        <w:rPr>
          <w:b/>
        </w:rPr>
        <w:tab/>
      </w:r>
      <w:r w:rsidR="00CD4CE6">
        <w:t xml:space="preserve">The Online Nursing Department </w:t>
      </w:r>
      <w:r w:rsidR="00CD4CE6">
        <w:rPr>
          <w:sz w:val="23"/>
          <w:szCs w:val="23"/>
        </w:rPr>
        <w:t>accepts and abides by the Alabama Articulation and General Studies Committee (AGSC)</w:t>
      </w:r>
      <w:r w:rsidR="00D61556">
        <w:rPr>
          <w:sz w:val="23"/>
          <w:szCs w:val="23"/>
        </w:rPr>
        <w:t xml:space="preserve"> to transfer course work. </w:t>
      </w:r>
      <w:r w:rsidR="00CD4CE6">
        <w:rPr>
          <w:sz w:val="23"/>
          <w:szCs w:val="23"/>
        </w:rPr>
        <w:t xml:space="preserve">   The </w:t>
      </w:r>
      <w:r w:rsidR="00D61556">
        <w:rPr>
          <w:sz w:val="23"/>
          <w:szCs w:val="23"/>
        </w:rPr>
        <w:t>Online D</w:t>
      </w:r>
      <w:r w:rsidR="00CD4CE6">
        <w:rPr>
          <w:sz w:val="23"/>
          <w:szCs w:val="23"/>
        </w:rPr>
        <w:t>epartment fully supports the AGSC.  All OD faculty engage in recruiting trips to area community colleges</w:t>
      </w:r>
      <w:r w:rsidR="00D61556">
        <w:rPr>
          <w:sz w:val="23"/>
          <w:szCs w:val="23"/>
        </w:rPr>
        <w:t xml:space="preserve"> and health agencies.</w:t>
      </w:r>
    </w:p>
    <w:p w:rsidR="00CD4CE6" w:rsidRPr="00CD4CE6" w:rsidRDefault="00CD4CE6" w:rsidP="00CD4CE6">
      <w:pPr>
        <w:tabs>
          <w:tab w:val="num" w:pos="1080"/>
        </w:tabs>
        <w:rPr>
          <w:b/>
        </w:rPr>
      </w:pPr>
    </w:p>
    <w:p w:rsidR="003015A3" w:rsidRDefault="003015A3" w:rsidP="00D61556">
      <w:pPr>
        <w:tabs>
          <w:tab w:val="num" w:pos="1080"/>
        </w:tabs>
        <w:rPr>
          <w:b/>
        </w:rPr>
      </w:pPr>
      <w:r w:rsidRPr="00D61556">
        <w:rPr>
          <w:b/>
        </w:rPr>
        <w:t>Program productivity including number or majors and degrees conferred</w:t>
      </w:r>
    </w:p>
    <w:p w:rsidR="007D4FD2" w:rsidRDefault="000E2AC7" w:rsidP="00D61556">
      <w:pPr>
        <w:tabs>
          <w:tab w:val="num" w:pos="1080"/>
        </w:tabs>
        <w:rPr>
          <w:b/>
        </w:rPr>
      </w:pPr>
      <w:r>
        <w:rPr>
          <w:b/>
        </w:rPr>
        <w:tab/>
      </w:r>
    </w:p>
    <w:p w:rsidR="000E2AC7" w:rsidRPr="000E2AC7" w:rsidRDefault="007D4FD2" w:rsidP="00D61556">
      <w:pPr>
        <w:tabs>
          <w:tab w:val="num" w:pos="1080"/>
        </w:tabs>
      </w:pPr>
      <w:r w:rsidRPr="007D4FD2">
        <w:t>Please r</w:t>
      </w:r>
      <w:r w:rsidR="000E2AC7" w:rsidRPr="007D4FD2">
        <w:t>efer</w:t>
      </w:r>
      <w:r w:rsidR="000E2AC7" w:rsidRPr="000E2AC7">
        <w:t xml:space="preserve"> to pages 1 and 2 for previously included descriptions and data.</w:t>
      </w:r>
    </w:p>
    <w:p w:rsidR="003015A3" w:rsidRDefault="003015A3" w:rsidP="003015A3">
      <w:pPr>
        <w:ind w:left="1080"/>
      </w:pPr>
    </w:p>
    <w:p w:rsidR="003015A3" w:rsidRPr="002F15B1" w:rsidRDefault="003015A3" w:rsidP="002F15B1">
      <w:pPr>
        <w:rPr>
          <w:b/>
        </w:rPr>
      </w:pPr>
      <w:r w:rsidRPr="002F15B1">
        <w:rPr>
          <w:b/>
        </w:rPr>
        <w:t>Program Evaluation</w:t>
      </w:r>
    </w:p>
    <w:p w:rsidR="003015A3" w:rsidRDefault="003015A3" w:rsidP="003015A3">
      <w:pPr>
        <w:ind w:left="360"/>
      </w:pPr>
    </w:p>
    <w:p w:rsidR="002F15B1" w:rsidRPr="003B1BA5" w:rsidRDefault="003B1BA5" w:rsidP="002F15B1">
      <w:pPr>
        <w:rPr>
          <w:b/>
        </w:rPr>
      </w:pPr>
      <w:r>
        <w:t xml:space="preserve">       </w:t>
      </w:r>
      <w:r w:rsidRPr="003B1BA5">
        <w:rPr>
          <w:b/>
        </w:rPr>
        <w:t>Assessment</w:t>
      </w:r>
      <w:r>
        <w:rPr>
          <w:b/>
        </w:rPr>
        <w:br/>
      </w:r>
    </w:p>
    <w:p w:rsidR="003B1BA5" w:rsidRDefault="003B1BA5" w:rsidP="00994588">
      <w:pPr>
        <w:spacing w:line="360" w:lineRule="auto"/>
        <w:ind w:left="450" w:firstLine="270"/>
      </w:pPr>
      <w:r w:rsidRPr="002E7C9F">
        <w:t>Formative and summative evaluation methods, both formal and informal, determine the satisfaction of students, graduates, and employers with the program and its outcomes. Formative methods include solicited and unsolicited feedback related to course and clinical activities during the semester, during advisement sessions, and through student and alumni postings in the UNA Nursing group on Facebook. Summative methods include faculty/course evaluations, graduate and employer surveys, and impromptu surveys . Consistent data evaluation facilitates continual quality improvement. The Online Program Effectiveness and Curriculum Committee (OPECC) plays a key role in the evaluation.</w:t>
      </w:r>
    </w:p>
    <w:p w:rsidR="003B1BA5" w:rsidRDefault="003B1BA5" w:rsidP="002E7C9F">
      <w:pPr>
        <w:spacing w:line="360" w:lineRule="auto"/>
        <w:ind w:left="450"/>
      </w:pPr>
    </w:p>
    <w:p w:rsidR="002E7C9F" w:rsidRDefault="003B1BA5" w:rsidP="00994588">
      <w:pPr>
        <w:spacing w:line="360" w:lineRule="auto"/>
        <w:ind w:left="450" w:firstLine="270"/>
      </w:pPr>
      <w:r>
        <w:t>The evaluation tool associated with eCollege is use to deploy e</w:t>
      </w:r>
      <w:r w:rsidR="002E7C9F" w:rsidRPr="002E7C9F">
        <w:t xml:space="preserve">lectronic course evaluations at the end of each semester with the use of the evaluation tool associated with the eCollege platform. The department chair, CONAH dean and faculty review the </w:t>
      </w:r>
      <w:r>
        <w:t xml:space="preserve">individual </w:t>
      </w:r>
      <w:r w:rsidR="002E7C9F" w:rsidRPr="002E7C9F">
        <w:t>results</w:t>
      </w:r>
      <w:r>
        <w:t xml:space="preserve">.  Results can also be combined and summarized in different formats before further review and analysis by the </w:t>
      </w:r>
      <w:r w:rsidR="002E7C9F" w:rsidRPr="002E7C9F">
        <w:t xml:space="preserve">OPECC.   </w:t>
      </w:r>
    </w:p>
    <w:p w:rsidR="002E7C9F" w:rsidRDefault="002E7C9F" w:rsidP="002E7C9F">
      <w:pPr>
        <w:spacing w:line="360" w:lineRule="auto"/>
        <w:ind w:left="450"/>
      </w:pPr>
    </w:p>
    <w:p w:rsidR="00994588" w:rsidRDefault="00994588" w:rsidP="00994588">
      <w:pPr>
        <w:spacing w:line="360" w:lineRule="auto"/>
        <w:ind w:left="450" w:firstLine="270"/>
      </w:pPr>
      <w:r w:rsidRPr="002E7C9F">
        <w:t xml:space="preserve">In the spring of each year, graduate surveys are deployed to collect information regarding satisfaction with the BSN program, achievement of program outcomes, educational progress, and career status. The OD does not collect employer data because of the different nature of the RN-BSN graduate. These graduates are experienced nurses who are not under the type of close evaluation by a first-time employer that graduates of the traditional program experience. In addition, the geographical locations of RN to BSN graduates are </w:t>
      </w:r>
      <w:r w:rsidRPr="002E7C9F">
        <w:lastRenderedPageBreak/>
        <w:t>more diverse making collection of aggregate employer data impractical. Rather than employer data, the online graduate survey collects data</w:t>
      </w:r>
      <w:r>
        <w:t xml:space="preserve"> that reflects positive student outcomes such as percentage of graduates who report </w:t>
      </w:r>
      <w:r w:rsidRPr="002E7C9F">
        <w:t>promotions, awards, certifications, advanced practice achievement, and enrollment in graduate programs.</w:t>
      </w:r>
      <w:r>
        <w:t xml:space="preserve">  Data that may reflect negative outcomes could  include such information as multiple employers within a short length of time, lack of promotions, etc.  </w:t>
      </w:r>
    </w:p>
    <w:p w:rsidR="002E7C9F" w:rsidRDefault="002E7C9F" w:rsidP="00994588">
      <w:pPr>
        <w:spacing w:line="360" w:lineRule="auto"/>
        <w:ind w:left="450" w:firstLine="270"/>
      </w:pPr>
      <w:r w:rsidRPr="002E7C9F">
        <w:t xml:space="preserve">In 2009, the OD initiated the use of Survey Monkey, an online survey tool, to administer BSN graduate surveys. </w:t>
      </w:r>
      <w:r w:rsidR="003B1BA5">
        <w:t xml:space="preserve"> As </w:t>
      </w:r>
      <w:r w:rsidR="004D224D">
        <w:t xml:space="preserve">residence and </w:t>
      </w:r>
      <w:r w:rsidR="003B1BA5">
        <w:t xml:space="preserve">email addresses of </w:t>
      </w:r>
      <w:r w:rsidR="004D224D">
        <w:t>alumni</w:t>
      </w:r>
      <w:r w:rsidR="003B1BA5">
        <w:t xml:space="preserve"> typically change over time, a solution to enable us to </w:t>
      </w:r>
      <w:r w:rsidR="004D224D">
        <w:t xml:space="preserve">maintain current contact information for alumni was sought.  </w:t>
      </w:r>
      <w:r w:rsidRPr="002E7C9F">
        <w:t xml:space="preserve">The establishment of the </w:t>
      </w:r>
      <w:r w:rsidR="004D224D">
        <w:t xml:space="preserve">private </w:t>
      </w:r>
      <w:r w:rsidRPr="002E7C9F">
        <w:t xml:space="preserve">UNA Nursing group on Facebook provided a new avenue to locate and communicate with alumni and resulted in higher alumni response rates than previously received. </w:t>
      </w:r>
      <w:r w:rsidR="004D224D">
        <w:t xml:space="preserve">We now have over 600 students and alumni who have joined the group.  </w:t>
      </w:r>
      <w:r w:rsidRPr="002E7C9F">
        <w:t xml:space="preserve">The Facebook forum </w:t>
      </w:r>
      <w:r w:rsidR="004D224D">
        <w:t>is also</w:t>
      </w:r>
      <w:r w:rsidRPr="002E7C9F">
        <w:t xml:space="preserve"> a good way to perform impromptu surveys. </w:t>
      </w:r>
      <w:r w:rsidR="004D224D">
        <w:t xml:space="preserve">A recent impromptu survey of five questions </w:t>
      </w:r>
      <w:r w:rsidRPr="002E7C9F">
        <w:t xml:space="preserve"> resulted in rapid responses and greater participation than experienced through previous survey methods. </w:t>
      </w:r>
    </w:p>
    <w:p w:rsidR="00912884" w:rsidRDefault="00424763" w:rsidP="00994588">
      <w:pPr>
        <w:spacing w:line="360" w:lineRule="auto"/>
        <w:ind w:left="450" w:firstLine="270"/>
      </w:pPr>
      <w:r>
        <w:tab/>
      </w:r>
      <w:r w:rsidR="007A1AA8">
        <w:t>Analysis of g</w:t>
      </w:r>
      <w:r>
        <w:t>rade distribution</w:t>
      </w:r>
      <w:r w:rsidR="007A1AA8">
        <w:t xml:space="preserve"> over time can be used to identify potential discrepancies in teaching/grading  methods in course sections taught by different professors.  Additionally, it can also identify discrepancies in grades  for course sections taught by the same professor.  </w:t>
      </w:r>
      <w:r w:rsidR="000E1DED">
        <w:t>However,</w:t>
      </w:r>
      <w:r w:rsidR="005F0BD6">
        <w:t xml:space="preserve"> as the grade distribution reports do not include individual course sections, there is little information to be gained, thus </w:t>
      </w:r>
      <w:r w:rsidR="000E1DED">
        <w:t>grade distribution has not been formally used by the OPECC in regards to program evaluation.  The Chair has</w:t>
      </w:r>
      <w:r w:rsidR="005F0BD6">
        <w:t xml:space="preserve"> reviewed the reports and</w:t>
      </w:r>
      <w:r w:rsidR="000E1DED">
        <w:t xml:space="preserve"> noted few discrepancies in grade distributions.  However, if the </w:t>
      </w:r>
      <w:r w:rsidR="005F0BD6">
        <w:t xml:space="preserve">grade </w:t>
      </w:r>
      <w:r w:rsidR="000E1DED">
        <w:t xml:space="preserve">distribution could be provided for all course sections, rather than </w:t>
      </w:r>
      <w:r w:rsidR="005F0BD6">
        <w:t xml:space="preserve">overall course grades, it could be more useful. </w:t>
      </w:r>
    </w:p>
    <w:p w:rsidR="005F0BD6" w:rsidRDefault="005F0BD6" w:rsidP="005F0BD6">
      <w:pPr>
        <w:spacing w:line="360" w:lineRule="auto"/>
        <w:rPr>
          <w:b/>
        </w:rPr>
      </w:pPr>
      <w:r w:rsidRPr="005F0BD6">
        <w:rPr>
          <w:b/>
        </w:rPr>
        <w:t xml:space="preserve">Continuous Improvement Plan </w:t>
      </w:r>
    </w:p>
    <w:p w:rsidR="00B21A21" w:rsidRDefault="005F0BD6" w:rsidP="005F0BD6">
      <w:pPr>
        <w:spacing w:line="360" w:lineRule="auto"/>
      </w:pPr>
      <w:r>
        <w:rPr>
          <w:b/>
        </w:rPr>
        <w:tab/>
      </w:r>
      <w:r>
        <w:t>The Online Nursing Department will continue to</w:t>
      </w:r>
      <w:r w:rsidR="00B730D7">
        <w:t xml:space="preserve"> deploy course evaluations for all courses at the end of each semester.  Alumni surveys will be deployed annually and impromptu s</w:t>
      </w:r>
      <w:r w:rsidR="00462353">
        <w:t>urveys will be sent periodically</w:t>
      </w:r>
      <w:r w:rsidR="00B730D7">
        <w:t xml:space="preserve"> via SurveyMonkey to UNA’s Nursing Facebook group.   All results will be analyzed by the department chair, the College dean and the OPECC.  </w:t>
      </w:r>
      <w:r w:rsidR="00B21A21">
        <w:t xml:space="preserve">  </w:t>
      </w:r>
    </w:p>
    <w:p w:rsidR="005F0BD6" w:rsidRDefault="00B21A21" w:rsidP="005F0BD6">
      <w:pPr>
        <w:spacing w:line="360" w:lineRule="auto"/>
      </w:pPr>
      <w:r>
        <w:tab/>
        <w:t xml:space="preserve">eCollege has recently implemented a new tool, Enterprise Reporting, that enable us to extract more specific course, student and faculty data in regards to user activity, enrollment, </w:t>
      </w:r>
      <w:r>
        <w:lastRenderedPageBreak/>
        <w:t xml:space="preserve">grades, etc.   </w:t>
      </w:r>
      <w:r w:rsidR="00B730D7">
        <w:t>Additionally, a</w:t>
      </w:r>
      <w:r>
        <w:t>nother</w:t>
      </w:r>
      <w:r w:rsidR="00B730D7">
        <w:t xml:space="preserve"> new tool available in eCollege is the Learning Outcome Manger</w:t>
      </w:r>
      <w:r>
        <w:t xml:space="preserve"> (LOM)</w:t>
      </w:r>
      <w:r w:rsidR="002B79CF">
        <w:t xml:space="preserve">.  This tool has been anticipated for more than a year and is </w:t>
      </w:r>
      <w:r w:rsidR="00B730D7">
        <w:t xml:space="preserve">finally out of beta and ready to be released.  </w:t>
      </w:r>
      <w:r>
        <w:t xml:space="preserve">LOM  </w:t>
      </w:r>
      <w:r w:rsidR="00B730D7">
        <w:t xml:space="preserve">is exciting as we will be able to link student </w:t>
      </w:r>
      <w:r w:rsidR="0049547B">
        <w:t>o</w:t>
      </w:r>
      <w:r w:rsidR="00B730D7">
        <w:t>utc</w:t>
      </w:r>
      <w:r>
        <w:t xml:space="preserve">omes to specific course content, </w:t>
      </w:r>
      <w:r w:rsidR="00B730D7">
        <w:t xml:space="preserve">assignments, exam questions, </w:t>
      </w:r>
      <w:r>
        <w:t xml:space="preserve">discussions, projects, </w:t>
      </w:r>
      <w:r w:rsidR="00B730D7">
        <w:t xml:space="preserve">etc. and extract data to demonstrate the degree of </w:t>
      </w:r>
      <w:r w:rsidR="00462353">
        <w:t xml:space="preserve">student </w:t>
      </w:r>
      <w:r w:rsidR="00B730D7">
        <w:t>proficiency in achieving specific outcomes.</w:t>
      </w:r>
      <w:r>
        <w:t xml:space="preserve">  It is expected the new staff position</w:t>
      </w:r>
      <w:r w:rsidR="00376FC4">
        <w:t>, when filled, will be trained in the use of both of these tools.</w:t>
      </w:r>
      <w:r w:rsidR="0049547B">
        <w:br/>
      </w:r>
    </w:p>
    <w:p w:rsidR="0049547B" w:rsidRDefault="0049547B" w:rsidP="005F0BD6">
      <w:pPr>
        <w:spacing w:line="360" w:lineRule="auto"/>
        <w:rPr>
          <w:b/>
        </w:rPr>
      </w:pPr>
      <w:r w:rsidRPr="0049547B">
        <w:rPr>
          <w:b/>
        </w:rPr>
        <w:t>Program Recommendations</w:t>
      </w:r>
    </w:p>
    <w:p w:rsidR="0049547B" w:rsidRDefault="0049547B" w:rsidP="0049547B">
      <w:pPr>
        <w:pStyle w:val="ListParagraph"/>
        <w:numPr>
          <w:ilvl w:val="0"/>
          <w:numId w:val="37"/>
        </w:numPr>
        <w:spacing w:line="360" w:lineRule="auto"/>
        <w:rPr>
          <w:b/>
        </w:rPr>
      </w:pPr>
      <w:r>
        <w:rPr>
          <w:b/>
        </w:rPr>
        <w:t xml:space="preserve">Maintain current </w:t>
      </w:r>
      <w:r w:rsidR="00462353">
        <w:rPr>
          <w:b/>
        </w:rPr>
        <w:t>level of enrollment at minimum</w:t>
      </w:r>
    </w:p>
    <w:p w:rsidR="007D4FD2" w:rsidRDefault="007D4FD2" w:rsidP="0049547B">
      <w:pPr>
        <w:pStyle w:val="ListParagraph"/>
        <w:numPr>
          <w:ilvl w:val="0"/>
          <w:numId w:val="37"/>
        </w:numPr>
        <w:spacing w:line="360" w:lineRule="auto"/>
        <w:rPr>
          <w:b/>
        </w:rPr>
      </w:pPr>
      <w:r>
        <w:rPr>
          <w:b/>
        </w:rPr>
        <w:t>Maintain current efforts to increase course retention</w:t>
      </w:r>
    </w:p>
    <w:p w:rsidR="0049547B" w:rsidRDefault="0049547B" w:rsidP="0049547B">
      <w:pPr>
        <w:pStyle w:val="ListParagraph"/>
        <w:numPr>
          <w:ilvl w:val="0"/>
          <w:numId w:val="37"/>
        </w:numPr>
        <w:spacing w:line="360" w:lineRule="auto"/>
        <w:rPr>
          <w:b/>
        </w:rPr>
      </w:pPr>
      <w:r>
        <w:rPr>
          <w:b/>
        </w:rPr>
        <w:t xml:space="preserve"> Expand  “face-to-face” recruitments at area community colleges and health care</w:t>
      </w:r>
      <w:r>
        <w:rPr>
          <w:b/>
        </w:rPr>
        <w:br/>
        <w:t>agencies</w:t>
      </w:r>
    </w:p>
    <w:p w:rsidR="0049547B" w:rsidRDefault="0049547B" w:rsidP="0049547B">
      <w:pPr>
        <w:pStyle w:val="ListParagraph"/>
        <w:numPr>
          <w:ilvl w:val="0"/>
          <w:numId w:val="37"/>
        </w:numPr>
        <w:spacing w:line="360" w:lineRule="auto"/>
        <w:rPr>
          <w:b/>
        </w:rPr>
      </w:pPr>
      <w:r>
        <w:rPr>
          <w:b/>
        </w:rPr>
        <w:t xml:space="preserve">Develop a method </w:t>
      </w:r>
      <w:r w:rsidR="007D4FD2">
        <w:rPr>
          <w:b/>
        </w:rPr>
        <w:t xml:space="preserve">to follow up </w:t>
      </w:r>
      <w:r>
        <w:rPr>
          <w:b/>
        </w:rPr>
        <w:t>on student withdrawals to determine patterns/cause</w:t>
      </w:r>
    </w:p>
    <w:p w:rsidR="0049547B" w:rsidRDefault="0049547B" w:rsidP="0049547B">
      <w:pPr>
        <w:pStyle w:val="ListParagraph"/>
        <w:numPr>
          <w:ilvl w:val="0"/>
          <w:numId w:val="37"/>
        </w:numPr>
        <w:spacing w:line="360" w:lineRule="auto"/>
        <w:rPr>
          <w:b/>
        </w:rPr>
      </w:pPr>
      <w:r>
        <w:rPr>
          <w:b/>
        </w:rPr>
        <w:t>Continue to use social networking to maintain contact with alumni</w:t>
      </w:r>
    </w:p>
    <w:p w:rsidR="00376FC4" w:rsidRDefault="00376FC4" w:rsidP="0049547B">
      <w:pPr>
        <w:pStyle w:val="ListParagraph"/>
        <w:numPr>
          <w:ilvl w:val="0"/>
          <w:numId w:val="37"/>
        </w:numPr>
        <w:spacing w:line="360" w:lineRule="auto"/>
        <w:rPr>
          <w:b/>
        </w:rPr>
      </w:pPr>
      <w:r>
        <w:rPr>
          <w:b/>
        </w:rPr>
        <w:t>Effectively utilize Enterprise Reporting to analyze enrollment, retention and attrition trends and patterns, and LOM to analyze student and program outcomes.</w:t>
      </w:r>
    </w:p>
    <w:p w:rsidR="00BF124D" w:rsidRDefault="00BF124D" w:rsidP="0049547B">
      <w:pPr>
        <w:pStyle w:val="ListParagraph"/>
        <w:numPr>
          <w:ilvl w:val="0"/>
          <w:numId w:val="37"/>
        </w:numPr>
        <w:spacing w:line="360" w:lineRule="auto"/>
        <w:rPr>
          <w:b/>
        </w:rPr>
      </w:pPr>
      <w:r>
        <w:rPr>
          <w:b/>
        </w:rPr>
        <w:t xml:space="preserve">Develop a plan to alleviate faculty overloads and to replace expected faculty and staff retirements within the next 3-5 years. </w:t>
      </w:r>
    </w:p>
    <w:p w:rsidR="00462353" w:rsidRDefault="00462353"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F05E17" w:rsidRDefault="00F05E17" w:rsidP="00462353">
      <w:pPr>
        <w:spacing w:line="360" w:lineRule="auto"/>
        <w:ind w:left="720"/>
        <w:rPr>
          <w:b/>
        </w:rPr>
      </w:pPr>
    </w:p>
    <w:p w:rsidR="002C6BAD" w:rsidRPr="00A750DB" w:rsidRDefault="00F05E17" w:rsidP="0012252F">
      <w:pPr>
        <w:spacing w:line="360" w:lineRule="auto"/>
        <w:ind w:left="720" w:right="-1728"/>
        <w:rPr>
          <w:b/>
        </w:rPr>
      </w:pPr>
      <w:r>
        <w:rPr>
          <w:b/>
        </w:rPr>
        <w:lastRenderedPageBreak/>
        <w:t xml:space="preserve">Appendix I.  CONAH Organizational chart </w:t>
      </w:r>
      <w:r w:rsidR="00A750DB">
        <w:rPr>
          <w:b/>
          <w:noProof/>
        </w:rPr>
        <w:drawing>
          <wp:anchor distT="0" distB="0" distL="114300" distR="114300" simplePos="0" relativeHeight="251662336" behindDoc="1" locked="0" layoutInCell="1" allowOverlap="1">
            <wp:simplePos x="0" y="0"/>
            <wp:positionH relativeFrom="column">
              <wp:posOffset>-1063625</wp:posOffset>
            </wp:positionH>
            <wp:positionV relativeFrom="paragraph">
              <wp:posOffset>707390</wp:posOffset>
            </wp:positionV>
            <wp:extent cx="8080375" cy="7121525"/>
            <wp:effectExtent l="0" t="476250" r="0" b="460375"/>
            <wp:wrapTight wrapText="bothSides">
              <wp:wrapPolygon edited="0">
                <wp:start x="21592" y="-67"/>
                <wp:lineTo x="51" y="-67"/>
                <wp:lineTo x="51" y="21600"/>
                <wp:lineTo x="21592" y="21600"/>
                <wp:lineTo x="21592" y="-67"/>
              </wp:wrapPolygon>
            </wp:wrapTight>
            <wp:docPr id="28" name="Picture 1" descr="C:\Users\webradford\Desktop\OD stuff\CONAH Organizational Chart Final Version - 2-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bradford\Desktop\OD stuff\CONAH Organizational Chart Final Version - 2-24-08.jpg"/>
                    <pic:cNvPicPr>
                      <a:picLocks noChangeAspect="1" noChangeArrowheads="1"/>
                    </pic:cNvPicPr>
                  </pic:nvPicPr>
                  <pic:blipFill>
                    <a:blip r:embed="rId20" cstate="print"/>
                    <a:srcRect/>
                    <a:stretch>
                      <a:fillRect/>
                    </a:stretch>
                  </pic:blipFill>
                  <pic:spPr bwMode="auto">
                    <a:xfrm rot="16200000">
                      <a:off x="0" y="0"/>
                      <a:ext cx="8080375" cy="7121525"/>
                    </a:xfrm>
                    <a:prstGeom prst="rect">
                      <a:avLst/>
                    </a:prstGeom>
                    <a:noFill/>
                    <a:ln w="9525">
                      <a:noFill/>
                      <a:miter lim="800000"/>
                      <a:headEnd/>
                      <a:tailEnd/>
                    </a:ln>
                  </pic:spPr>
                </pic:pic>
              </a:graphicData>
            </a:graphic>
          </wp:anchor>
        </w:drawing>
      </w:r>
    </w:p>
    <w:sectPr w:rsidR="002C6BAD" w:rsidRPr="00A750DB" w:rsidSect="005A5504">
      <w:head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828" w:rsidRDefault="001F2828" w:rsidP="00F44A50">
      <w:r>
        <w:separator/>
      </w:r>
    </w:p>
  </w:endnote>
  <w:endnote w:type="continuationSeparator" w:id="0">
    <w:p w:rsidR="001F2828" w:rsidRDefault="001F2828" w:rsidP="00F4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WP">
    <w:altName w:val="Book Antiqua"/>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828" w:rsidRDefault="001F2828" w:rsidP="00F44A50">
      <w:r>
        <w:separator/>
      </w:r>
    </w:p>
  </w:footnote>
  <w:footnote w:type="continuationSeparator" w:id="0">
    <w:p w:rsidR="001F2828" w:rsidRDefault="001F2828" w:rsidP="00F4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83844"/>
      <w:docPartObj>
        <w:docPartGallery w:val="Page Numbers (Top of Page)"/>
        <w:docPartUnique/>
      </w:docPartObj>
    </w:sdtPr>
    <w:sdtEndPr/>
    <w:sdtContent>
      <w:p w:rsidR="00875587" w:rsidRDefault="00A15174">
        <w:pPr>
          <w:pStyle w:val="Header"/>
          <w:jc w:val="right"/>
        </w:pPr>
        <w:r>
          <w:fldChar w:fldCharType="begin"/>
        </w:r>
        <w:r>
          <w:instrText xml:space="preserve"> PAGE   \* MERGEFORMAT </w:instrText>
        </w:r>
        <w:r>
          <w:fldChar w:fldCharType="separate"/>
        </w:r>
        <w:r>
          <w:rPr>
            <w:noProof/>
          </w:rPr>
          <w:t>28</w:t>
        </w:r>
        <w:r>
          <w:rPr>
            <w:noProof/>
          </w:rPr>
          <w:fldChar w:fldCharType="end"/>
        </w:r>
      </w:p>
    </w:sdtContent>
  </w:sdt>
  <w:p w:rsidR="00875587" w:rsidRDefault="00875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F50"/>
    <w:multiLevelType w:val="hybridMultilevel"/>
    <w:tmpl w:val="C680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E4328"/>
    <w:multiLevelType w:val="hybridMultilevel"/>
    <w:tmpl w:val="19D44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C873C4"/>
    <w:multiLevelType w:val="hybridMultilevel"/>
    <w:tmpl w:val="26DE8C4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9FB06E1"/>
    <w:multiLevelType w:val="hybridMultilevel"/>
    <w:tmpl w:val="23F0063C"/>
    <w:lvl w:ilvl="0" w:tplc="9328EFA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C6C6B"/>
    <w:multiLevelType w:val="hybridMultilevel"/>
    <w:tmpl w:val="4AD64FA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CA5842"/>
    <w:multiLevelType w:val="hybridMultilevel"/>
    <w:tmpl w:val="2DEC224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0A70C4F"/>
    <w:multiLevelType w:val="hybridMultilevel"/>
    <w:tmpl w:val="6DC8F89A"/>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96662C"/>
    <w:multiLevelType w:val="hybridMultilevel"/>
    <w:tmpl w:val="C6427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641AA"/>
    <w:multiLevelType w:val="hybridMultilevel"/>
    <w:tmpl w:val="B06CCD7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nsid w:val="1320742D"/>
    <w:multiLevelType w:val="hybridMultilevel"/>
    <w:tmpl w:val="56B28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6E7C7B"/>
    <w:multiLevelType w:val="hybridMultilevel"/>
    <w:tmpl w:val="39EA3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62C56"/>
    <w:multiLevelType w:val="hybridMultilevel"/>
    <w:tmpl w:val="55784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EE2C88"/>
    <w:multiLevelType w:val="hybridMultilevel"/>
    <w:tmpl w:val="6500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5749B"/>
    <w:multiLevelType w:val="hybridMultilevel"/>
    <w:tmpl w:val="A01869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870B1C"/>
    <w:multiLevelType w:val="hybridMultilevel"/>
    <w:tmpl w:val="CA1E8E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2A6BC2"/>
    <w:multiLevelType w:val="multilevel"/>
    <w:tmpl w:val="9F32CEB2"/>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16">
    <w:nsid w:val="43AA23CA"/>
    <w:multiLevelType w:val="hybridMultilevel"/>
    <w:tmpl w:val="32E01C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4A94AB4"/>
    <w:multiLevelType w:val="hybridMultilevel"/>
    <w:tmpl w:val="2F74C89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8">
    <w:nsid w:val="46BF4C6B"/>
    <w:multiLevelType w:val="hybridMultilevel"/>
    <w:tmpl w:val="2066372C"/>
    <w:lvl w:ilvl="0" w:tplc="04090001">
      <w:start w:val="1"/>
      <w:numFmt w:val="bullet"/>
      <w:lvlText w:val=""/>
      <w:lvlJc w:val="left"/>
      <w:pPr>
        <w:ind w:left="4725" w:hanging="360"/>
      </w:pPr>
      <w:rPr>
        <w:rFonts w:ascii="Symbol" w:hAnsi="Symbol" w:hint="default"/>
      </w:rPr>
    </w:lvl>
    <w:lvl w:ilvl="1" w:tplc="04090003">
      <w:start w:val="1"/>
      <w:numFmt w:val="bullet"/>
      <w:lvlText w:val="o"/>
      <w:lvlJc w:val="left"/>
      <w:pPr>
        <w:ind w:left="5445" w:hanging="360"/>
      </w:pPr>
      <w:rPr>
        <w:rFonts w:ascii="Courier New" w:hAnsi="Courier New" w:cs="Courier New" w:hint="default"/>
      </w:rPr>
    </w:lvl>
    <w:lvl w:ilvl="2" w:tplc="04090005" w:tentative="1">
      <w:start w:val="1"/>
      <w:numFmt w:val="bullet"/>
      <w:lvlText w:val=""/>
      <w:lvlJc w:val="left"/>
      <w:pPr>
        <w:ind w:left="6165" w:hanging="360"/>
      </w:pPr>
      <w:rPr>
        <w:rFonts w:ascii="Wingdings" w:hAnsi="Wingdings" w:hint="default"/>
      </w:rPr>
    </w:lvl>
    <w:lvl w:ilvl="3" w:tplc="04090001" w:tentative="1">
      <w:start w:val="1"/>
      <w:numFmt w:val="bullet"/>
      <w:lvlText w:val=""/>
      <w:lvlJc w:val="left"/>
      <w:pPr>
        <w:ind w:left="6885" w:hanging="360"/>
      </w:pPr>
      <w:rPr>
        <w:rFonts w:ascii="Symbol" w:hAnsi="Symbol" w:hint="default"/>
      </w:rPr>
    </w:lvl>
    <w:lvl w:ilvl="4" w:tplc="04090003" w:tentative="1">
      <w:start w:val="1"/>
      <w:numFmt w:val="bullet"/>
      <w:lvlText w:val="o"/>
      <w:lvlJc w:val="left"/>
      <w:pPr>
        <w:ind w:left="7605" w:hanging="360"/>
      </w:pPr>
      <w:rPr>
        <w:rFonts w:ascii="Courier New" w:hAnsi="Courier New" w:cs="Courier New" w:hint="default"/>
      </w:rPr>
    </w:lvl>
    <w:lvl w:ilvl="5" w:tplc="04090005" w:tentative="1">
      <w:start w:val="1"/>
      <w:numFmt w:val="bullet"/>
      <w:lvlText w:val=""/>
      <w:lvlJc w:val="left"/>
      <w:pPr>
        <w:ind w:left="8325" w:hanging="360"/>
      </w:pPr>
      <w:rPr>
        <w:rFonts w:ascii="Wingdings" w:hAnsi="Wingdings" w:hint="default"/>
      </w:rPr>
    </w:lvl>
    <w:lvl w:ilvl="6" w:tplc="04090001" w:tentative="1">
      <w:start w:val="1"/>
      <w:numFmt w:val="bullet"/>
      <w:lvlText w:val=""/>
      <w:lvlJc w:val="left"/>
      <w:pPr>
        <w:ind w:left="9045" w:hanging="360"/>
      </w:pPr>
      <w:rPr>
        <w:rFonts w:ascii="Symbol" w:hAnsi="Symbol" w:hint="default"/>
      </w:rPr>
    </w:lvl>
    <w:lvl w:ilvl="7" w:tplc="04090003" w:tentative="1">
      <w:start w:val="1"/>
      <w:numFmt w:val="bullet"/>
      <w:lvlText w:val="o"/>
      <w:lvlJc w:val="left"/>
      <w:pPr>
        <w:ind w:left="9765" w:hanging="360"/>
      </w:pPr>
      <w:rPr>
        <w:rFonts w:ascii="Courier New" w:hAnsi="Courier New" w:cs="Courier New" w:hint="default"/>
      </w:rPr>
    </w:lvl>
    <w:lvl w:ilvl="8" w:tplc="04090005" w:tentative="1">
      <w:start w:val="1"/>
      <w:numFmt w:val="bullet"/>
      <w:lvlText w:val=""/>
      <w:lvlJc w:val="left"/>
      <w:pPr>
        <w:ind w:left="10485" w:hanging="360"/>
      </w:pPr>
      <w:rPr>
        <w:rFonts w:ascii="Wingdings" w:hAnsi="Wingdings" w:hint="default"/>
      </w:rPr>
    </w:lvl>
  </w:abstractNum>
  <w:abstractNum w:abstractNumId="19">
    <w:nsid w:val="481F2021"/>
    <w:multiLevelType w:val="hybridMultilevel"/>
    <w:tmpl w:val="7876C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89240FC"/>
    <w:multiLevelType w:val="hybridMultilevel"/>
    <w:tmpl w:val="841A759A"/>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nsid w:val="49731474"/>
    <w:multiLevelType w:val="hybridMultilevel"/>
    <w:tmpl w:val="C6342B0E"/>
    <w:lvl w:ilvl="0" w:tplc="22883CF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D73FBC"/>
    <w:multiLevelType w:val="hybridMultilevel"/>
    <w:tmpl w:val="C22213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424A7F"/>
    <w:multiLevelType w:val="hybridMultilevel"/>
    <w:tmpl w:val="7D280994"/>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60773D"/>
    <w:multiLevelType w:val="hybridMultilevel"/>
    <w:tmpl w:val="3D6E1FE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A937C1E"/>
    <w:multiLevelType w:val="hybridMultilevel"/>
    <w:tmpl w:val="AC280C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BB31BE9"/>
    <w:multiLevelType w:val="hybridMultilevel"/>
    <w:tmpl w:val="BD0886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C317F05"/>
    <w:multiLevelType w:val="hybridMultilevel"/>
    <w:tmpl w:val="8E4C8F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A56B2"/>
    <w:multiLevelType w:val="hybridMultilevel"/>
    <w:tmpl w:val="BFAEF0B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nsid w:val="5E1346FD"/>
    <w:multiLevelType w:val="hybridMultilevel"/>
    <w:tmpl w:val="5C220D3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0DE6E3E"/>
    <w:multiLevelType w:val="hybridMultilevel"/>
    <w:tmpl w:val="435A5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B6F37"/>
    <w:multiLevelType w:val="hybridMultilevel"/>
    <w:tmpl w:val="B4A4A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7D511B"/>
    <w:multiLevelType w:val="hybridMultilevel"/>
    <w:tmpl w:val="6A6C0B0E"/>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4D4F46"/>
    <w:multiLevelType w:val="hybridMultilevel"/>
    <w:tmpl w:val="CADE22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EB5EF9"/>
    <w:multiLevelType w:val="hybridMultilevel"/>
    <w:tmpl w:val="897A76E6"/>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6586A9A"/>
    <w:multiLevelType w:val="hybridMultilevel"/>
    <w:tmpl w:val="CE424B8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9811515"/>
    <w:multiLevelType w:val="hybridMultilevel"/>
    <w:tmpl w:val="F98AD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22"/>
  </w:num>
  <w:num w:numId="4">
    <w:abstractNumId w:val="11"/>
  </w:num>
  <w:num w:numId="5">
    <w:abstractNumId w:val="3"/>
  </w:num>
  <w:num w:numId="6">
    <w:abstractNumId w:val="32"/>
  </w:num>
  <w:num w:numId="7">
    <w:abstractNumId w:val="33"/>
  </w:num>
  <w:num w:numId="8">
    <w:abstractNumId w:val="14"/>
  </w:num>
  <w:num w:numId="9">
    <w:abstractNumId w:val="7"/>
  </w:num>
  <w:num w:numId="10">
    <w:abstractNumId w:val="5"/>
  </w:num>
  <w:num w:numId="11">
    <w:abstractNumId w:val="13"/>
  </w:num>
  <w:num w:numId="12">
    <w:abstractNumId w:val="31"/>
  </w:num>
  <w:num w:numId="13">
    <w:abstractNumId w:val="10"/>
  </w:num>
  <w:num w:numId="14">
    <w:abstractNumId w:val="0"/>
  </w:num>
  <w:num w:numId="15">
    <w:abstractNumId w:val="6"/>
  </w:num>
  <w:num w:numId="16">
    <w:abstractNumId w:val="25"/>
  </w:num>
  <w:num w:numId="17">
    <w:abstractNumId w:val="16"/>
  </w:num>
  <w:num w:numId="18">
    <w:abstractNumId w:val="35"/>
  </w:num>
  <w:num w:numId="19">
    <w:abstractNumId w:val="29"/>
  </w:num>
  <w:num w:numId="20">
    <w:abstractNumId w:val="26"/>
  </w:num>
  <w:num w:numId="21">
    <w:abstractNumId w:val="34"/>
  </w:num>
  <w:num w:numId="22">
    <w:abstractNumId w:val="24"/>
  </w:num>
  <w:num w:numId="23">
    <w:abstractNumId w:val="1"/>
  </w:num>
  <w:num w:numId="24">
    <w:abstractNumId w:val="20"/>
  </w:num>
  <w:num w:numId="25">
    <w:abstractNumId w:val="27"/>
  </w:num>
  <w:num w:numId="26">
    <w:abstractNumId w:val="18"/>
  </w:num>
  <w:num w:numId="27">
    <w:abstractNumId w:val="2"/>
  </w:num>
  <w:num w:numId="28">
    <w:abstractNumId w:val="30"/>
  </w:num>
  <w:num w:numId="29">
    <w:abstractNumId w:val="19"/>
  </w:num>
  <w:num w:numId="30">
    <w:abstractNumId w:val="9"/>
  </w:num>
  <w:num w:numId="31">
    <w:abstractNumId w:val="17"/>
  </w:num>
  <w:num w:numId="32">
    <w:abstractNumId w:val="12"/>
  </w:num>
  <w:num w:numId="33">
    <w:abstractNumId w:val="28"/>
  </w:num>
  <w:num w:numId="34">
    <w:abstractNumId w:val="36"/>
  </w:num>
  <w:num w:numId="35">
    <w:abstractNumId w:val="8"/>
  </w:num>
  <w:num w:numId="36">
    <w:abstractNumId w:val="1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2A27"/>
    <w:rsid w:val="0000430D"/>
    <w:rsid w:val="000159AD"/>
    <w:rsid w:val="000329F4"/>
    <w:rsid w:val="0007161D"/>
    <w:rsid w:val="00074D64"/>
    <w:rsid w:val="00082444"/>
    <w:rsid w:val="00086D12"/>
    <w:rsid w:val="000B5AD8"/>
    <w:rsid w:val="000C2A62"/>
    <w:rsid w:val="000D4C59"/>
    <w:rsid w:val="000E1DED"/>
    <w:rsid w:val="000E2AC7"/>
    <w:rsid w:val="0012252F"/>
    <w:rsid w:val="0013273B"/>
    <w:rsid w:val="001345F6"/>
    <w:rsid w:val="00141CF7"/>
    <w:rsid w:val="001441E8"/>
    <w:rsid w:val="00156239"/>
    <w:rsid w:val="001622B3"/>
    <w:rsid w:val="00164F42"/>
    <w:rsid w:val="0017276D"/>
    <w:rsid w:val="00174523"/>
    <w:rsid w:val="00182494"/>
    <w:rsid w:val="00183B9D"/>
    <w:rsid w:val="001941C9"/>
    <w:rsid w:val="00195055"/>
    <w:rsid w:val="001F10C3"/>
    <w:rsid w:val="001F2828"/>
    <w:rsid w:val="001F6363"/>
    <w:rsid w:val="00202C50"/>
    <w:rsid w:val="00211F62"/>
    <w:rsid w:val="00212DBE"/>
    <w:rsid w:val="002503E1"/>
    <w:rsid w:val="00253071"/>
    <w:rsid w:val="0027580B"/>
    <w:rsid w:val="0029356D"/>
    <w:rsid w:val="002A7115"/>
    <w:rsid w:val="002B79CF"/>
    <w:rsid w:val="002C573D"/>
    <w:rsid w:val="002C6BAD"/>
    <w:rsid w:val="002C6D81"/>
    <w:rsid w:val="002D00E8"/>
    <w:rsid w:val="002D6261"/>
    <w:rsid w:val="002E7C9F"/>
    <w:rsid w:val="002F15B1"/>
    <w:rsid w:val="002F78F8"/>
    <w:rsid w:val="003015A3"/>
    <w:rsid w:val="0030631B"/>
    <w:rsid w:val="00320A16"/>
    <w:rsid w:val="0033261F"/>
    <w:rsid w:val="00335D39"/>
    <w:rsid w:val="003518E7"/>
    <w:rsid w:val="0035313F"/>
    <w:rsid w:val="00353293"/>
    <w:rsid w:val="00365450"/>
    <w:rsid w:val="0037206D"/>
    <w:rsid w:val="00372731"/>
    <w:rsid w:val="00373417"/>
    <w:rsid w:val="00376FC4"/>
    <w:rsid w:val="00381867"/>
    <w:rsid w:val="00394FB4"/>
    <w:rsid w:val="00397D60"/>
    <w:rsid w:val="003B1BA5"/>
    <w:rsid w:val="003D1C4B"/>
    <w:rsid w:val="003D7A40"/>
    <w:rsid w:val="003E1824"/>
    <w:rsid w:val="003E21EC"/>
    <w:rsid w:val="0040106B"/>
    <w:rsid w:val="00404FE7"/>
    <w:rsid w:val="00424763"/>
    <w:rsid w:val="004273BD"/>
    <w:rsid w:val="0044450A"/>
    <w:rsid w:val="00453E31"/>
    <w:rsid w:val="00462353"/>
    <w:rsid w:val="004663FB"/>
    <w:rsid w:val="004750A3"/>
    <w:rsid w:val="0049547B"/>
    <w:rsid w:val="004A1D11"/>
    <w:rsid w:val="004B7803"/>
    <w:rsid w:val="004D224D"/>
    <w:rsid w:val="004E5198"/>
    <w:rsid w:val="004E6BC0"/>
    <w:rsid w:val="004F07A0"/>
    <w:rsid w:val="004F0C3B"/>
    <w:rsid w:val="005316E4"/>
    <w:rsid w:val="005A5504"/>
    <w:rsid w:val="005B14C4"/>
    <w:rsid w:val="005C529C"/>
    <w:rsid w:val="005D0DE8"/>
    <w:rsid w:val="005F0BD6"/>
    <w:rsid w:val="005F44F2"/>
    <w:rsid w:val="0060134F"/>
    <w:rsid w:val="006037DD"/>
    <w:rsid w:val="00612A27"/>
    <w:rsid w:val="0067265D"/>
    <w:rsid w:val="00674558"/>
    <w:rsid w:val="00682235"/>
    <w:rsid w:val="00697C82"/>
    <w:rsid w:val="006D14DB"/>
    <w:rsid w:val="006E2663"/>
    <w:rsid w:val="00707C76"/>
    <w:rsid w:val="00730B2F"/>
    <w:rsid w:val="00737824"/>
    <w:rsid w:val="00740815"/>
    <w:rsid w:val="0074782B"/>
    <w:rsid w:val="00764370"/>
    <w:rsid w:val="007826D7"/>
    <w:rsid w:val="00783AAB"/>
    <w:rsid w:val="007A1AA8"/>
    <w:rsid w:val="007D41FB"/>
    <w:rsid w:val="007D4FD2"/>
    <w:rsid w:val="007E48B8"/>
    <w:rsid w:val="00805ECE"/>
    <w:rsid w:val="00806412"/>
    <w:rsid w:val="00810855"/>
    <w:rsid w:val="00831E30"/>
    <w:rsid w:val="008358AD"/>
    <w:rsid w:val="00842CB3"/>
    <w:rsid w:val="00853CCB"/>
    <w:rsid w:val="00854C45"/>
    <w:rsid w:val="00861B12"/>
    <w:rsid w:val="00873791"/>
    <w:rsid w:val="00875587"/>
    <w:rsid w:val="00875BED"/>
    <w:rsid w:val="008935D4"/>
    <w:rsid w:val="008A603F"/>
    <w:rsid w:val="008B205A"/>
    <w:rsid w:val="008D33F4"/>
    <w:rsid w:val="00911587"/>
    <w:rsid w:val="00912884"/>
    <w:rsid w:val="009139FB"/>
    <w:rsid w:val="00943FE2"/>
    <w:rsid w:val="00945FE1"/>
    <w:rsid w:val="00980703"/>
    <w:rsid w:val="00994588"/>
    <w:rsid w:val="009B43CD"/>
    <w:rsid w:val="009E2CD0"/>
    <w:rsid w:val="009F4761"/>
    <w:rsid w:val="00A039DA"/>
    <w:rsid w:val="00A121CB"/>
    <w:rsid w:val="00A15174"/>
    <w:rsid w:val="00A56CBA"/>
    <w:rsid w:val="00A750DB"/>
    <w:rsid w:val="00AC17B7"/>
    <w:rsid w:val="00AD24D4"/>
    <w:rsid w:val="00AE1582"/>
    <w:rsid w:val="00AE5935"/>
    <w:rsid w:val="00AE6095"/>
    <w:rsid w:val="00B00DDF"/>
    <w:rsid w:val="00B12944"/>
    <w:rsid w:val="00B21A21"/>
    <w:rsid w:val="00B57729"/>
    <w:rsid w:val="00B66144"/>
    <w:rsid w:val="00B730D7"/>
    <w:rsid w:val="00B77B69"/>
    <w:rsid w:val="00B90240"/>
    <w:rsid w:val="00B91F6F"/>
    <w:rsid w:val="00B944F0"/>
    <w:rsid w:val="00B94630"/>
    <w:rsid w:val="00BA0241"/>
    <w:rsid w:val="00BB317C"/>
    <w:rsid w:val="00BB5782"/>
    <w:rsid w:val="00BE5793"/>
    <w:rsid w:val="00BF124D"/>
    <w:rsid w:val="00C07101"/>
    <w:rsid w:val="00C25F2B"/>
    <w:rsid w:val="00C51C1B"/>
    <w:rsid w:val="00C61118"/>
    <w:rsid w:val="00C767BB"/>
    <w:rsid w:val="00CA268A"/>
    <w:rsid w:val="00CD4CE6"/>
    <w:rsid w:val="00CE2603"/>
    <w:rsid w:val="00CF34E5"/>
    <w:rsid w:val="00CF4380"/>
    <w:rsid w:val="00D36565"/>
    <w:rsid w:val="00D51ABB"/>
    <w:rsid w:val="00D5625D"/>
    <w:rsid w:val="00D61556"/>
    <w:rsid w:val="00D6266B"/>
    <w:rsid w:val="00D64EC3"/>
    <w:rsid w:val="00D75262"/>
    <w:rsid w:val="00D86FD7"/>
    <w:rsid w:val="00D96056"/>
    <w:rsid w:val="00DC320B"/>
    <w:rsid w:val="00DC56F9"/>
    <w:rsid w:val="00E01A37"/>
    <w:rsid w:val="00E0308A"/>
    <w:rsid w:val="00E346A1"/>
    <w:rsid w:val="00E65671"/>
    <w:rsid w:val="00E7500C"/>
    <w:rsid w:val="00E76C8A"/>
    <w:rsid w:val="00E96AD0"/>
    <w:rsid w:val="00EA46C3"/>
    <w:rsid w:val="00EB05C0"/>
    <w:rsid w:val="00EB41C8"/>
    <w:rsid w:val="00EC2D86"/>
    <w:rsid w:val="00EC5F48"/>
    <w:rsid w:val="00ED386D"/>
    <w:rsid w:val="00EF5AD9"/>
    <w:rsid w:val="00F05E17"/>
    <w:rsid w:val="00F128E6"/>
    <w:rsid w:val="00F23513"/>
    <w:rsid w:val="00F44A50"/>
    <w:rsid w:val="00F62957"/>
    <w:rsid w:val="00FC0276"/>
    <w:rsid w:val="00FC3DE4"/>
    <w:rsid w:val="00FD72ED"/>
    <w:rsid w:val="00FE526F"/>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2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A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A2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53E31"/>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C61118"/>
    <w:pPr>
      <w:ind w:left="720"/>
      <w:contextualSpacing/>
    </w:pPr>
  </w:style>
  <w:style w:type="paragraph" w:styleId="BalloonText">
    <w:name w:val="Balloon Text"/>
    <w:basedOn w:val="Normal"/>
    <w:link w:val="BalloonTextChar"/>
    <w:uiPriority w:val="99"/>
    <w:semiHidden/>
    <w:unhideWhenUsed/>
    <w:rsid w:val="002C6BAD"/>
    <w:rPr>
      <w:rFonts w:ascii="Tahoma" w:hAnsi="Tahoma" w:cs="Tahoma"/>
      <w:sz w:val="16"/>
      <w:szCs w:val="16"/>
    </w:rPr>
  </w:style>
  <w:style w:type="character" w:customStyle="1" w:styleId="BalloonTextChar">
    <w:name w:val="Balloon Text Char"/>
    <w:basedOn w:val="DefaultParagraphFont"/>
    <w:link w:val="BalloonText"/>
    <w:uiPriority w:val="99"/>
    <w:semiHidden/>
    <w:rsid w:val="002C6BAD"/>
    <w:rPr>
      <w:rFonts w:ascii="Tahoma" w:eastAsia="Times New Roman" w:hAnsi="Tahoma" w:cs="Tahoma"/>
      <w:sz w:val="16"/>
      <w:szCs w:val="16"/>
    </w:rPr>
  </w:style>
  <w:style w:type="paragraph" w:styleId="Header">
    <w:name w:val="header"/>
    <w:basedOn w:val="Normal"/>
    <w:link w:val="HeaderChar"/>
    <w:uiPriority w:val="99"/>
    <w:unhideWhenUsed/>
    <w:rsid w:val="00F44A50"/>
    <w:pPr>
      <w:tabs>
        <w:tab w:val="center" w:pos="4680"/>
        <w:tab w:val="right" w:pos="9360"/>
      </w:tabs>
    </w:pPr>
  </w:style>
  <w:style w:type="character" w:customStyle="1" w:styleId="HeaderChar">
    <w:name w:val="Header Char"/>
    <w:basedOn w:val="DefaultParagraphFont"/>
    <w:link w:val="Header"/>
    <w:uiPriority w:val="99"/>
    <w:rsid w:val="00F44A5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44A50"/>
    <w:pPr>
      <w:tabs>
        <w:tab w:val="center" w:pos="4680"/>
        <w:tab w:val="right" w:pos="9360"/>
      </w:tabs>
    </w:pPr>
  </w:style>
  <w:style w:type="character" w:customStyle="1" w:styleId="FooterChar">
    <w:name w:val="Footer Char"/>
    <w:basedOn w:val="DefaultParagraphFont"/>
    <w:link w:val="Footer"/>
    <w:uiPriority w:val="99"/>
    <w:semiHidden/>
    <w:rsid w:val="00F44A50"/>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373417"/>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1345F6"/>
    <w:rPr>
      <w:sz w:val="16"/>
      <w:szCs w:val="16"/>
    </w:rPr>
  </w:style>
  <w:style w:type="paragraph" w:styleId="CommentText">
    <w:name w:val="annotation text"/>
    <w:basedOn w:val="Normal"/>
    <w:link w:val="CommentTextChar"/>
    <w:uiPriority w:val="99"/>
    <w:semiHidden/>
    <w:unhideWhenUsed/>
    <w:rsid w:val="001345F6"/>
    <w:rPr>
      <w:sz w:val="20"/>
      <w:szCs w:val="20"/>
    </w:rPr>
  </w:style>
  <w:style w:type="character" w:customStyle="1" w:styleId="CommentTextChar">
    <w:name w:val="Comment Text Char"/>
    <w:basedOn w:val="DefaultParagraphFont"/>
    <w:link w:val="CommentText"/>
    <w:uiPriority w:val="99"/>
    <w:semiHidden/>
    <w:rsid w:val="001345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45F6"/>
    <w:rPr>
      <w:b/>
      <w:bCs/>
    </w:rPr>
  </w:style>
  <w:style w:type="character" w:customStyle="1" w:styleId="CommentSubjectChar">
    <w:name w:val="Comment Subject Char"/>
    <w:basedOn w:val="CommentTextChar"/>
    <w:link w:val="CommentSubject"/>
    <w:uiPriority w:val="99"/>
    <w:semiHidden/>
    <w:rsid w:val="001345F6"/>
    <w:rPr>
      <w:rFonts w:ascii="Times New Roman" w:eastAsia="Times New Roman" w:hAnsi="Times New Roman" w:cs="Times New Roman"/>
      <w:b/>
      <w:bCs/>
      <w:sz w:val="20"/>
      <w:szCs w:val="20"/>
    </w:rPr>
  </w:style>
  <w:style w:type="paragraph" w:styleId="Revision">
    <w:name w:val="Revision"/>
    <w:hidden/>
    <w:uiPriority w:val="99"/>
    <w:semiHidden/>
    <w:rsid w:val="001345F6"/>
    <w:rPr>
      <w:rFonts w:ascii="Times New Roman" w:eastAsia="Times New Roman" w:hAnsi="Times New Roman" w:cs="Times New Roman"/>
      <w:sz w:val="24"/>
      <w:szCs w:val="24"/>
    </w:rPr>
  </w:style>
  <w:style w:type="table" w:styleId="TableGrid">
    <w:name w:val="Table Grid"/>
    <w:basedOn w:val="TableNormal"/>
    <w:uiPriority w:val="59"/>
    <w:rsid w:val="00FC3D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D6266B"/>
    <w:rPr>
      <w:rFonts w:ascii="Courier New" w:hAnsi="Courier New"/>
      <w:sz w:val="20"/>
      <w:szCs w:val="20"/>
    </w:rPr>
  </w:style>
  <w:style w:type="character" w:customStyle="1" w:styleId="PlainTextChar">
    <w:name w:val="Plain Text Char"/>
    <w:basedOn w:val="DefaultParagraphFont"/>
    <w:link w:val="PlainText"/>
    <w:rsid w:val="00D6266B"/>
    <w:rPr>
      <w:rFonts w:ascii="Courier New" w:eastAsia="Times New Roman" w:hAnsi="Courier New" w:cs="Times New Roman"/>
      <w:sz w:val="20"/>
      <w:szCs w:val="20"/>
    </w:rPr>
  </w:style>
  <w:style w:type="paragraph" w:styleId="FootnoteText">
    <w:name w:val="footnote text"/>
    <w:basedOn w:val="Normal"/>
    <w:link w:val="FootnoteTextChar"/>
    <w:uiPriority w:val="99"/>
    <w:semiHidden/>
    <w:unhideWhenUsed/>
    <w:rsid w:val="00CF4380"/>
    <w:rPr>
      <w:sz w:val="20"/>
      <w:szCs w:val="20"/>
    </w:rPr>
  </w:style>
  <w:style w:type="character" w:customStyle="1" w:styleId="FootnoteTextChar">
    <w:name w:val="Footnote Text Char"/>
    <w:basedOn w:val="DefaultParagraphFont"/>
    <w:link w:val="FootnoteText"/>
    <w:uiPriority w:val="99"/>
    <w:semiHidden/>
    <w:rsid w:val="00CF4380"/>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674558"/>
    <w:rPr>
      <w:color w:val="46166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458">
      <w:bodyDiv w:val="1"/>
      <w:marLeft w:val="0"/>
      <w:marRight w:val="0"/>
      <w:marTop w:val="0"/>
      <w:marBottom w:val="0"/>
      <w:divBdr>
        <w:top w:val="none" w:sz="0" w:space="0" w:color="auto"/>
        <w:left w:val="none" w:sz="0" w:space="0" w:color="auto"/>
        <w:bottom w:val="none" w:sz="0" w:space="0" w:color="auto"/>
        <w:right w:val="none" w:sz="0" w:space="0" w:color="auto"/>
      </w:divBdr>
    </w:div>
    <w:div w:id="1079250979">
      <w:bodyDiv w:val="1"/>
      <w:marLeft w:val="0"/>
      <w:marRight w:val="0"/>
      <w:marTop w:val="0"/>
      <w:marBottom w:val="0"/>
      <w:divBdr>
        <w:top w:val="none" w:sz="0" w:space="0" w:color="auto"/>
        <w:left w:val="none" w:sz="0" w:space="0" w:color="auto"/>
        <w:bottom w:val="none" w:sz="0" w:space="0" w:color="auto"/>
        <w:right w:val="none" w:sz="0" w:space="0" w:color="auto"/>
      </w:divBdr>
    </w:div>
    <w:div w:id="1555845594">
      <w:bodyDiv w:val="1"/>
      <w:marLeft w:val="0"/>
      <w:marRight w:val="0"/>
      <w:marTop w:val="0"/>
      <w:marBottom w:val="0"/>
      <w:divBdr>
        <w:top w:val="none" w:sz="0" w:space="0" w:color="auto"/>
        <w:left w:val="none" w:sz="0" w:space="0" w:color="auto"/>
        <w:bottom w:val="none" w:sz="0" w:space="0" w:color="auto"/>
        <w:right w:val="none" w:sz="0" w:space="0" w:color="auto"/>
      </w:divBdr>
      <w:divsChild>
        <w:div w:id="81880734">
          <w:marLeft w:val="0"/>
          <w:marRight w:val="0"/>
          <w:marTop w:val="0"/>
          <w:marBottom w:val="0"/>
          <w:divBdr>
            <w:top w:val="none" w:sz="0" w:space="0" w:color="auto"/>
            <w:left w:val="none" w:sz="0" w:space="0" w:color="auto"/>
            <w:bottom w:val="none" w:sz="0" w:space="0" w:color="auto"/>
            <w:right w:val="none" w:sz="0" w:space="0" w:color="auto"/>
          </w:divBdr>
          <w:divsChild>
            <w:div w:id="352998499">
              <w:marLeft w:val="0"/>
              <w:marRight w:val="0"/>
              <w:marTop w:val="0"/>
              <w:marBottom w:val="0"/>
              <w:divBdr>
                <w:top w:val="none" w:sz="0" w:space="0" w:color="auto"/>
                <w:left w:val="none" w:sz="0" w:space="0" w:color="auto"/>
                <w:bottom w:val="none" w:sz="0" w:space="0" w:color="auto"/>
                <w:right w:val="none" w:sz="0" w:space="0" w:color="auto"/>
              </w:divBdr>
              <w:divsChild>
                <w:div w:id="7367001">
                  <w:marLeft w:val="0"/>
                  <w:marRight w:val="0"/>
                  <w:marTop w:val="0"/>
                  <w:marBottom w:val="0"/>
                  <w:divBdr>
                    <w:top w:val="none" w:sz="0" w:space="0" w:color="auto"/>
                    <w:left w:val="single" w:sz="6" w:space="0" w:color="5F6062"/>
                    <w:bottom w:val="none" w:sz="0" w:space="0" w:color="auto"/>
                    <w:right w:val="single" w:sz="6" w:space="0" w:color="5F6062"/>
                  </w:divBdr>
                  <w:divsChild>
                    <w:div w:id="3240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7526">
      <w:bodyDiv w:val="1"/>
      <w:marLeft w:val="0"/>
      <w:marRight w:val="0"/>
      <w:marTop w:val="0"/>
      <w:marBottom w:val="0"/>
      <w:divBdr>
        <w:top w:val="none" w:sz="0" w:space="0" w:color="auto"/>
        <w:left w:val="none" w:sz="0" w:space="0" w:color="auto"/>
        <w:bottom w:val="none" w:sz="0" w:space="0" w:color="auto"/>
        <w:right w:val="none" w:sz="0" w:space="0" w:color="auto"/>
      </w:divBdr>
    </w:div>
    <w:div w:id="1952280098">
      <w:bodyDiv w:val="1"/>
      <w:marLeft w:val="0"/>
      <w:marRight w:val="0"/>
      <w:marTop w:val="0"/>
      <w:marBottom w:val="0"/>
      <w:divBdr>
        <w:top w:val="none" w:sz="0" w:space="0" w:color="auto"/>
        <w:left w:val="none" w:sz="0" w:space="0" w:color="auto"/>
        <w:bottom w:val="none" w:sz="0" w:space="0" w:color="auto"/>
        <w:right w:val="none" w:sz="0" w:space="0" w:color="auto"/>
      </w:divBdr>
    </w:div>
    <w:div w:id="2059164435">
      <w:bodyDiv w:val="1"/>
      <w:marLeft w:val="0"/>
      <w:marRight w:val="0"/>
      <w:marTop w:val="0"/>
      <w:marBottom w:val="0"/>
      <w:divBdr>
        <w:top w:val="none" w:sz="0" w:space="0" w:color="auto"/>
        <w:left w:val="none" w:sz="0" w:space="0" w:color="auto"/>
        <w:bottom w:val="none" w:sz="0" w:space="0" w:color="auto"/>
        <w:right w:val="none" w:sz="0" w:space="0" w:color="auto"/>
      </w:divBdr>
      <w:divsChild>
        <w:div w:id="1341347035">
          <w:marLeft w:val="0"/>
          <w:marRight w:val="0"/>
          <w:marTop w:val="0"/>
          <w:marBottom w:val="0"/>
          <w:divBdr>
            <w:top w:val="none" w:sz="0" w:space="0" w:color="auto"/>
            <w:left w:val="none" w:sz="0" w:space="0" w:color="auto"/>
            <w:bottom w:val="none" w:sz="0" w:space="0" w:color="auto"/>
            <w:right w:val="none" w:sz="0" w:space="0" w:color="auto"/>
          </w:divBdr>
          <w:divsChild>
            <w:div w:id="1783650943">
              <w:marLeft w:val="0"/>
              <w:marRight w:val="0"/>
              <w:marTop w:val="0"/>
              <w:marBottom w:val="0"/>
              <w:divBdr>
                <w:top w:val="none" w:sz="0" w:space="0" w:color="auto"/>
                <w:left w:val="none" w:sz="0" w:space="0" w:color="auto"/>
                <w:bottom w:val="none" w:sz="0" w:space="0" w:color="auto"/>
                <w:right w:val="none" w:sz="0" w:space="0" w:color="auto"/>
              </w:divBdr>
              <w:divsChild>
                <w:div w:id="180633190">
                  <w:marLeft w:val="0"/>
                  <w:marRight w:val="0"/>
                  <w:marTop w:val="0"/>
                  <w:marBottom w:val="0"/>
                  <w:divBdr>
                    <w:top w:val="none" w:sz="0" w:space="0" w:color="auto"/>
                    <w:left w:val="single" w:sz="6" w:space="0" w:color="5F6062"/>
                    <w:bottom w:val="none" w:sz="0" w:space="0" w:color="auto"/>
                    <w:right w:val="single" w:sz="6" w:space="0" w:color="5F6062"/>
                  </w:divBdr>
                  <w:divsChild>
                    <w:div w:id="16348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ets.org/portal/site/ets/menuitem.fab2360b1645a1de9b3a0779f1751509/?vgnextoid=b195e3b5f64f4010VgnVCM10000022f95190RCR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psychcorp.pearsonassessments.com/haiweb/Cultures/en-US/site/Community/PostSecondary/Products/MAT/mathome.htm"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webradford\Documents\OD%20Fall%202009%20Course%20Evaluation%20-%20Overall%20response%20in%20Chart-percentage%20format%20-%20MSN%20Program.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webradford\Documents\OD%20Fall%202009%20Course%20Evaluation%20-%20Overall%20response%20in%20Chart-percentage%20format%20-%20MSN%20Program.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webradford\Documents\OD%20Fall%202009%20Course%20Evaluation%20-%20Overall%20response%20in%20Chart-percentage%20format%20-%20MSN%20Program.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webradford\Documents\OD%20Fall%202009%20Course%20Evaluation%20-%20Overall%20response%20in%20Chart-percentage%20format%20-%20MSN%20Pro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9"/>
      <c:rotY val="44"/>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8589988375701548E-2"/>
          <c:y val="1.7808143631851465E-2"/>
          <c:w val="0.81161567228946097"/>
          <c:h val="0.69147039101864083"/>
        </c:manualLayout>
      </c:layout>
      <c:bar3DChart>
        <c:barDir val="col"/>
        <c:grouping val="clustered"/>
        <c:varyColors val="0"/>
        <c:ser>
          <c:idx val="0"/>
          <c:order val="0"/>
          <c:tx>
            <c:strRef>
              <c:f>Sheet1!#REF!</c:f>
              <c:strCache>
                <c:ptCount val="1"/>
                <c:pt idx="0">
                  <c:v>#REF!</c:v>
                </c:pt>
              </c:strCache>
            </c:strRef>
          </c:tx>
          <c:spPr>
            <a:solidFill>
              <a:srgbClr val="9999FF"/>
            </a:solidFill>
            <a:ln w="15972">
              <a:noFill/>
              <a:prstDash val="solid"/>
            </a:ln>
          </c:spPr>
          <c:invertIfNegative val="0"/>
          <c:dPt>
            <c:idx val="0"/>
            <c:invertIfNegative val="0"/>
            <c:bubble3D val="0"/>
            <c:spPr>
              <a:solidFill>
                <a:srgbClr val="7030A0"/>
              </a:solidFill>
              <a:ln w="15972">
                <a:noFill/>
                <a:prstDash val="solid"/>
              </a:ln>
            </c:spPr>
          </c:dPt>
          <c:dPt>
            <c:idx val="1"/>
            <c:invertIfNegative val="0"/>
            <c:bubble3D val="0"/>
            <c:spPr>
              <a:solidFill>
                <a:srgbClr val="FFC000"/>
              </a:solidFill>
              <a:ln>
                <a:noFill/>
              </a:ln>
            </c:spPr>
          </c:dPt>
          <c:dPt>
            <c:idx val="2"/>
            <c:invertIfNegative val="0"/>
            <c:bubble3D val="0"/>
            <c:spPr>
              <a:solidFill>
                <a:srgbClr val="7030A0"/>
              </a:solidFill>
              <a:ln w="15972">
                <a:noFill/>
                <a:prstDash val="solid"/>
              </a:ln>
            </c:spPr>
          </c:dPt>
          <c:dPt>
            <c:idx val="3"/>
            <c:invertIfNegative val="0"/>
            <c:bubble3D val="0"/>
            <c:spPr>
              <a:solidFill>
                <a:srgbClr val="FFC000"/>
              </a:solidFill>
              <a:ln w="15972">
                <a:noFill/>
                <a:prstDash val="solid"/>
              </a:ln>
            </c:spPr>
          </c:dPt>
          <c:dPt>
            <c:idx val="4"/>
            <c:invertIfNegative val="0"/>
            <c:bubble3D val="0"/>
            <c:spPr>
              <a:solidFill>
                <a:srgbClr val="7030A0"/>
              </a:solidFill>
              <a:ln w="15972">
                <a:noFill/>
                <a:prstDash val="solid"/>
              </a:ln>
            </c:spPr>
          </c:dPt>
          <c:dPt>
            <c:idx val="5"/>
            <c:invertIfNegative val="0"/>
            <c:bubble3D val="0"/>
            <c:spPr>
              <a:solidFill>
                <a:srgbClr val="FFC000"/>
              </a:solidFill>
              <a:ln w="15972">
                <a:noFill/>
                <a:prstDash val="solid"/>
              </a:ln>
            </c:spPr>
          </c:dPt>
          <c:dPt>
            <c:idx val="6"/>
            <c:invertIfNegative val="0"/>
            <c:bubble3D val="0"/>
            <c:spPr>
              <a:solidFill>
                <a:srgbClr val="7030A0"/>
              </a:solidFill>
              <a:ln w="15972">
                <a:noFill/>
                <a:prstDash val="solid"/>
              </a:ln>
            </c:spPr>
          </c:dPt>
          <c:dPt>
            <c:idx val="7"/>
            <c:invertIfNegative val="0"/>
            <c:bubble3D val="0"/>
            <c:spPr>
              <a:solidFill>
                <a:srgbClr val="FFC000"/>
              </a:solidFill>
              <a:ln w="15972">
                <a:noFill/>
                <a:prstDash val="solid"/>
              </a:ln>
            </c:spPr>
          </c:dPt>
          <c:dPt>
            <c:idx val="8"/>
            <c:invertIfNegative val="0"/>
            <c:bubble3D val="0"/>
            <c:spPr>
              <a:solidFill>
                <a:srgbClr val="7030A0"/>
              </a:solidFill>
              <a:ln w="15972">
                <a:noFill/>
                <a:prstDash val="solid"/>
              </a:ln>
            </c:spPr>
          </c:dPt>
          <c:dPt>
            <c:idx val="9"/>
            <c:invertIfNegative val="0"/>
            <c:bubble3D val="0"/>
            <c:spPr>
              <a:solidFill>
                <a:srgbClr val="FFC000"/>
              </a:solidFill>
              <a:ln w="15972">
                <a:noFill/>
                <a:prstDash val="solid"/>
              </a:ln>
            </c:spPr>
          </c:dPt>
          <c:dLbls>
            <c:dLbl>
              <c:idx val="0"/>
              <c:layout>
                <c:manualLayout>
                  <c:x val="-1.6771488469601695E-2"/>
                  <c:y val="0.11548515097030201"/>
                </c:manualLayout>
              </c:layout>
              <c:tx>
                <c:rich>
                  <a:bodyPr anchor="ctr" anchorCtr="0"/>
                  <a:lstStyle/>
                  <a:p>
                    <a:pPr>
                      <a:defRPr sz="800" baseline="0">
                        <a:solidFill>
                          <a:schemeClr val="bg1"/>
                        </a:solidFill>
                      </a:defRPr>
                    </a:pPr>
                    <a:r>
                      <a:rPr lang="en-US" baseline="0" dirty="0" smtClean="0">
                        <a:solidFill>
                          <a:schemeClr val="bg1"/>
                        </a:solidFill>
                      </a:rPr>
                      <a:t>      234</a:t>
                    </a:r>
                    <a:endParaRPr lang="en-US" baseline="0" dirty="0">
                      <a:solidFill>
                        <a:schemeClr val="bg1"/>
                      </a:solidFill>
                    </a:endParaRPr>
                  </a:p>
                </c:rich>
              </c:tx>
              <c:spPr/>
              <c:showLegendKey val="0"/>
              <c:showVal val="1"/>
              <c:showCatName val="0"/>
              <c:showSerName val="0"/>
              <c:showPercent val="0"/>
              <c:showBubbleSize val="0"/>
              <c:separator> </c:separator>
            </c:dLbl>
            <c:dLbl>
              <c:idx val="1"/>
              <c:layout>
                <c:manualLayout>
                  <c:x val="0"/>
                  <c:y val="8.3989501312335929E-2"/>
                </c:manualLayout>
              </c:layout>
              <c:tx>
                <c:rich>
                  <a:bodyPr/>
                  <a:lstStyle/>
                  <a:p>
                    <a:r>
                      <a:rPr lang="en-US" dirty="0" smtClean="0"/>
                      <a:t>    57 </a:t>
                    </a:r>
                    <a:endParaRPr lang="en-US" dirty="0"/>
                  </a:p>
                </c:rich>
              </c:tx>
              <c:showLegendKey val="0"/>
              <c:showVal val="1"/>
              <c:showCatName val="0"/>
              <c:showSerName val="0"/>
              <c:showPercent val="0"/>
              <c:showBubbleSize val="0"/>
              <c:separator> </c:separator>
            </c:dLbl>
            <c:dLbl>
              <c:idx val="2"/>
              <c:layout>
                <c:manualLayout>
                  <c:x val="-6.289308176100677E-3"/>
                  <c:y val="0.11548556430446187"/>
                </c:manualLayout>
              </c:layout>
              <c:tx>
                <c:rich>
                  <a:bodyPr anchor="ctr" anchorCtr="0"/>
                  <a:lstStyle/>
                  <a:p>
                    <a:pPr>
                      <a:defRPr sz="800" baseline="0">
                        <a:solidFill>
                          <a:schemeClr val="bg1"/>
                        </a:solidFill>
                      </a:defRPr>
                    </a:pPr>
                    <a:r>
                      <a:rPr lang="en-US" baseline="0" dirty="0" smtClean="0">
                        <a:solidFill>
                          <a:schemeClr val="bg1"/>
                        </a:solidFill>
                      </a:rPr>
                      <a:t>      </a:t>
                    </a:r>
                    <a:r>
                      <a:rPr lang="en-US" baseline="0" dirty="0">
                        <a:solidFill>
                          <a:schemeClr val="bg1"/>
                        </a:solidFill>
                      </a:rPr>
                      <a:t>241 </a:t>
                    </a:r>
                  </a:p>
                </c:rich>
              </c:tx>
              <c:spPr/>
              <c:showLegendKey val="0"/>
              <c:showVal val="1"/>
              <c:showCatName val="0"/>
              <c:showSerName val="0"/>
              <c:showPercent val="0"/>
              <c:showBubbleSize val="0"/>
              <c:separator> </c:separator>
            </c:dLbl>
            <c:dLbl>
              <c:idx val="3"/>
              <c:layout>
                <c:manualLayout>
                  <c:x val="-2.0964360587002119E-3"/>
                  <c:y val="6.8241469816272965E-2"/>
                </c:manualLayout>
              </c:layout>
              <c:tx>
                <c:rich>
                  <a:bodyPr/>
                  <a:lstStyle/>
                  <a:p>
                    <a:r>
                      <a:rPr lang="en-US"/>
                      <a:t> </a:t>
                    </a:r>
                    <a:r>
                      <a:rPr lang="en-US" smtClean="0"/>
                      <a:t>   45 </a:t>
                    </a:r>
                    <a:endParaRPr lang="en-US"/>
                  </a:p>
                </c:rich>
              </c:tx>
              <c:showLegendKey val="0"/>
              <c:showVal val="1"/>
              <c:showCatName val="0"/>
              <c:showSerName val="0"/>
              <c:showPercent val="0"/>
              <c:showBubbleSize val="0"/>
              <c:separator> </c:separator>
            </c:dLbl>
            <c:dLbl>
              <c:idx val="4"/>
              <c:layout>
                <c:manualLayout>
                  <c:x val="0"/>
                  <c:y val="9.4488188976377993E-2"/>
                </c:manualLayout>
              </c:layout>
              <c:tx>
                <c:rich>
                  <a:bodyPr anchor="ctr" anchorCtr="0"/>
                  <a:lstStyle/>
                  <a:p>
                    <a:pPr>
                      <a:defRPr sz="800" baseline="0">
                        <a:solidFill>
                          <a:schemeClr val="bg1"/>
                        </a:solidFill>
                      </a:defRPr>
                    </a:pPr>
                    <a:r>
                      <a:rPr lang="en-US" baseline="0" smtClean="0">
                        <a:solidFill>
                          <a:schemeClr val="bg1"/>
                        </a:solidFill>
                      </a:rPr>
                      <a:t>255</a:t>
                    </a:r>
                    <a:endParaRPr lang="en-US" baseline="0" dirty="0">
                      <a:solidFill>
                        <a:schemeClr val="bg1"/>
                      </a:solidFill>
                    </a:endParaRPr>
                  </a:p>
                </c:rich>
              </c:tx>
              <c:spPr/>
              <c:showLegendKey val="0"/>
              <c:showVal val="1"/>
              <c:showCatName val="0"/>
              <c:showSerName val="0"/>
              <c:showPercent val="0"/>
              <c:showBubbleSize val="0"/>
              <c:separator> </c:separator>
            </c:dLbl>
            <c:dLbl>
              <c:idx val="5"/>
              <c:layout>
                <c:manualLayout>
                  <c:x val="0"/>
                  <c:y val="7.3490813648293962E-2"/>
                </c:manualLayout>
              </c:layout>
              <c:tx>
                <c:rich>
                  <a:bodyPr anchor="ctr" anchorCtr="0"/>
                  <a:lstStyle/>
                  <a:p>
                    <a:pPr>
                      <a:defRPr sz="800" baseline="0">
                        <a:solidFill>
                          <a:schemeClr val="bg1"/>
                        </a:solidFill>
                      </a:defRPr>
                    </a:pPr>
                    <a:r>
                      <a:rPr lang="en-US" baseline="0">
                        <a:solidFill>
                          <a:sysClr val="windowText" lastClr="000000"/>
                        </a:solidFill>
                      </a:rPr>
                      <a:t>58</a:t>
                    </a:r>
                  </a:p>
                </c:rich>
              </c:tx>
              <c:spPr/>
              <c:showLegendKey val="0"/>
              <c:showVal val="1"/>
              <c:showCatName val="0"/>
              <c:showSerName val="0"/>
              <c:showPercent val="0"/>
              <c:showBubbleSize val="0"/>
              <c:separator> </c:separator>
            </c:dLbl>
            <c:dLbl>
              <c:idx val="6"/>
              <c:layout>
                <c:manualLayout>
                  <c:x val="0"/>
                  <c:y val="0.12598425196850388"/>
                </c:manualLayout>
              </c:layout>
              <c:tx>
                <c:rich>
                  <a:bodyPr anchor="ctr" anchorCtr="0"/>
                  <a:lstStyle/>
                  <a:p>
                    <a:pPr>
                      <a:defRPr sz="800" baseline="0">
                        <a:solidFill>
                          <a:schemeClr val="bg1"/>
                        </a:solidFill>
                      </a:defRPr>
                    </a:pPr>
                    <a:r>
                      <a:rPr lang="en-US" baseline="0">
                        <a:solidFill>
                          <a:schemeClr val="bg1"/>
                        </a:solidFill>
                      </a:rPr>
                      <a:t>320</a:t>
                    </a:r>
                  </a:p>
                </c:rich>
              </c:tx>
              <c:spPr/>
              <c:showLegendKey val="0"/>
              <c:showVal val="1"/>
              <c:showCatName val="0"/>
              <c:showSerName val="0"/>
              <c:showPercent val="0"/>
              <c:showBubbleSize val="0"/>
              <c:separator> </c:separator>
            </c:dLbl>
            <c:dLbl>
              <c:idx val="7"/>
              <c:layout>
                <c:manualLayout>
                  <c:x val="0"/>
                  <c:y val="8.3989501312335929E-2"/>
                </c:manualLayout>
              </c:layout>
              <c:tx>
                <c:rich>
                  <a:bodyPr anchor="ctr" anchorCtr="0"/>
                  <a:lstStyle/>
                  <a:p>
                    <a:pPr>
                      <a:defRPr sz="800" baseline="0">
                        <a:solidFill>
                          <a:schemeClr val="bg1"/>
                        </a:solidFill>
                      </a:defRPr>
                    </a:pPr>
                    <a:r>
                      <a:rPr lang="en-US" baseline="0">
                        <a:solidFill>
                          <a:sysClr val="windowText" lastClr="000000"/>
                        </a:solidFill>
                      </a:rPr>
                      <a:t>108</a:t>
                    </a:r>
                  </a:p>
                </c:rich>
              </c:tx>
              <c:spPr/>
              <c:showLegendKey val="0"/>
              <c:showVal val="1"/>
              <c:showCatName val="0"/>
              <c:showSerName val="0"/>
              <c:showPercent val="0"/>
              <c:showBubbleSize val="0"/>
              <c:separator> </c:separator>
            </c:dLbl>
            <c:dLbl>
              <c:idx val="8"/>
              <c:layout>
                <c:manualLayout>
                  <c:x val="4.1928721174004195E-3"/>
                  <c:y val="9.9737532808399088E-2"/>
                </c:manualLayout>
              </c:layout>
              <c:tx>
                <c:rich>
                  <a:bodyPr anchor="ctr" anchorCtr="0"/>
                  <a:lstStyle/>
                  <a:p>
                    <a:pPr>
                      <a:defRPr sz="800" baseline="0">
                        <a:solidFill>
                          <a:schemeClr val="bg1"/>
                        </a:solidFill>
                      </a:defRPr>
                    </a:pPr>
                    <a:r>
                      <a:rPr lang="en-US" baseline="0">
                        <a:solidFill>
                          <a:schemeClr val="bg1"/>
                        </a:solidFill>
                      </a:rPr>
                      <a:t>255</a:t>
                    </a:r>
                  </a:p>
                </c:rich>
              </c:tx>
              <c:spPr/>
              <c:showLegendKey val="0"/>
              <c:showVal val="1"/>
              <c:showCatName val="0"/>
              <c:showSerName val="0"/>
              <c:showPercent val="0"/>
              <c:showBubbleSize val="0"/>
              <c:separator> </c:separator>
            </c:dLbl>
            <c:dLbl>
              <c:idx val="9"/>
              <c:layout>
                <c:manualLayout>
                  <c:x val="0"/>
                  <c:y val="9.4488188976377951E-2"/>
                </c:manualLayout>
              </c:layout>
              <c:tx>
                <c:rich>
                  <a:bodyPr/>
                  <a:lstStyle/>
                  <a:p>
                    <a:r>
                      <a:rPr lang="en-US"/>
                      <a:t>76</a:t>
                    </a:r>
                  </a:p>
                </c:rich>
              </c:tx>
              <c:showLegendKey val="0"/>
              <c:showVal val="1"/>
              <c:showCatName val="0"/>
              <c:showSerName val="0"/>
              <c:showPercent val="0"/>
              <c:showBubbleSize val="0"/>
              <c:separator> </c:separator>
            </c:dLbl>
            <c:txPr>
              <a:bodyPr anchor="ctr" anchorCtr="0"/>
              <a:lstStyle/>
              <a:p>
                <a:pPr>
                  <a:defRPr sz="800">
                    <a:solidFill>
                      <a:schemeClr val="tx1"/>
                    </a:solidFill>
                  </a:defRPr>
                </a:pPr>
                <a:endParaRPr lang="en-US"/>
              </a:p>
            </c:txPr>
            <c:showLegendKey val="0"/>
            <c:showVal val="1"/>
            <c:showCatName val="0"/>
            <c:showSerName val="0"/>
            <c:showPercent val="0"/>
            <c:showBubbleSize val="0"/>
            <c:separator> </c:separator>
            <c:showLeaderLines val="0"/>
          </c:dLbls>
          <c:cat>
            <c:strRef>
              <c:f>Sheet1!$A$1:$AB$1</c:f>
              <c:strCache>
                <c:ptCount val="10"/>
                <c:pt idx="0">
                  <c:v>2004-2005</c:v>
                </c:pt>
                <c:pt idx="1">
                  <c:v>BSN degree </c:v>
                </c:pt>
                <c:pt idx="2">
                  <c:v>2005-2006</c:v>
                </c:pt>
                <c:pt idx="3">
                  <c:v>BSN degree </c:v>
                </c:pt>
                <c:pt idx="4">
                  <c:v>2006-2007</c:v>
                </c:pt>
                <c:pt idx="5">
                  <c:v>BSN degree </c:v>
                </c:pt>
                <c:pt idx="6">
                  <c:v>2007-2008</c:v>
                </c:pt>
                <c:pt idx="7">
                  <c:v>BSN Degree </c:v>
                </c:pt>
                <c:pt idx="8">
                  <c:v>2008-2009</c:v>
                </c:pt>
                <c:pt idx="9">
                  <c:v>BSN Degree </c:v>
                </c:pt>
              </c:strCache>
            </c:strRef>
          </c:cat>
          <c:val>
            <c:numRef>
              <c:f>Sheet1!$A$2:$AB$2</c:f>
              <c:numCache>
                <c:formatCode>General</c:formatCode>
                <c:ptCount val="10"/>
                <c:pt idx="0">
                  <c:v>237</c:v>
                </c:pt>
                <c:pt idx="1">
                  <c:v>57</c:v>
                </c:pt>
                <c:pt idx="2">
                  <c:v>241</c:v>
                </c:pt>
                <c:pt idx="3">
                  <c:v>45</c:v>
                </c:pt>
                <c:pt idx="4">
                  <c:v>255</c:v>
                </c:pt>
                <c:pt idx="5">
                  <c:v>58</c:v>
                </c:pt>
                <c:pt idx="6">
                  <c:v>320</c:v>
                </c:pt>
                <c:pt idx="7">
                  <c:v>108</c:v>
                </c:pt>
                <c:pt idx="8">
                  <c:v>255</c:v>
                </c:pt>
                <c:pt idx="9">
                  <c:v>76</c:v>
                </c:pt>
              </c:numCache>
            </c:numRef>
          </c:val>
        </c:ser>
        <c:dLbls>
          <c:showLegendKey val="0"/>
          <c:showVal val="1"/>
          <c:showCatName val="0"/>
          <c:showSerName val="1"/>
          <c:showPercent val="0"/>
          <c:showBubbleSize val="0"/>
          <c:separator> </c:separator>
        </c:dLbls>
        <c:gapWidth val="41"/>
        <c:gapDepth val="25"/>
        <c:shape val="box"/>
        <c:axId val="28355968"/>
        <c:axId val="28370048"/>
        <c:axId val="0"/>
      </c:bar3DChart>
      <c:catAx>
        <c:axId val="28355968"/>
        <c:scaling>
          <c:orientation val="minMax"/>
        </c:scaling>
        <c:delete val="0"/>
        <c:axPos val="b"/>
        <c:numFmt formatCode="General" sourceLinked="1"/>
        <c:majorTickMark val="out"/>
        <c:minorTickMark val="none"/>
        <c:tickLblPos val="low"/>
        <c:spPr>
          <a:ln w="3993">
            <a:solidFill>
              <a:srgbClr val="000000"/>
            </a:solidFill>
            <a:prstDash val="solid"/>
          </a:ln>
        </c:spPr>
        <c:txPr>
          <a:bodyPr rot="1860000" vert="horz"/>
          <a:lstStyle/>
          <a:p>
            <a:pPr>
              <a:defRPr sz="723" b="1" i="0" u="none" strike="noStrike" baseline="0">
                <a:solidFill>
                  <a:srgbClr val="000000"/>
                </a:solidFill>
                <a:latin typeface="Arial"/>
                <a:ea typeface="Arial"/>
                <a:cs typeface="Arial"/>
              </a:defRPr>
            </a:pPr>
            <a:endParaRPr lang="en-US"/>
          </a:p>
        </c:txPr>
        <c:crossAx val="28370048"/>
        <c:crosses val="autoZero"/>
        <c:auto val="1"/>
        <c:lblAlgn val="ctr"/>
        <c:lblOffset val="100"/>
        <c:tickLblSkip val="1"/>
        <c:tickMarkSkip val="1"/>
        <c:noMultiLvlLbl val="0"/>
      </c:catAx>
      <c:valAx>
        <c:axId val="28370048"/>
        <c:scaling>
          <c:orientation val="minMax"/>
        </c:scaling>
        <c:delete val="0"/>
        <c:axPos val="l"/>
        <c:majorGridlines>
          <c:spPr>
            <a:ln w="3993">
              <a:solidFill>
                <a:srgbClr val="000000"/>
              </a:solidFill>
              <a:prstDash val="solid"/>
            </a:ln>
          </c:spPr>
        </c:majorGridlines>
        <c:numFmt formatCode="General" sourceLinked="1"/>
        <c:majorTickMark val="out"/>
        <c:minorTickMark val="none"/>
        <c:tickLblPos val="nextTo"/>
        <c:spPr>
          <a:ln w="3993">
            <a:solidFill>
              <a:srgbClr val="000000"/>
            </a:solidFill>
            <a:prstDash val="solid"/>
          </a:ln>
        </c:spPr>
        <c:txPr>
          <a:bodyPr rot="0" vert="horz"/>
          <a:lstStyle/>
          <a:p>
            <a:pPr>
              <a:defRPr sz="597" b="1" i="0" u="none" strike="noStrike" baseline="0">
                <a:solidFill>
                  <a:srgbClr val="000000"/>
                </a:solidFill>
                <a:latin typeface="Arial"/>
                <a:ea typeface="Arial"/>
                <a:cs typeface="Arial"/>
              </a:defRPr>
            </a:pPr>
            <a:endParaRPr lang="en-US"/>
          </a:p>
        </c:txPr>
        <c:crossAx val="28355968"/>
        <c:crosses val="autoZero"/>
        <c:crossBetween val="between"/>
      </c:valAx>
      <c:spPr>
        <a:solidFill>
          <a:sysClr val="window" lastClr="FFFFFF"/>
        </a:solidFill>
        <a:ln w="12700" cmpd="sng">
          <a:solidFill>
            <a:sysClr val="windowText" lastClr="000000"/>
          </a:solidFill>
        </a:ln>
      </c:spPr>
    </c:plotArea>
    <c:plotVisOnly val="1"/>
    <c:dispBlanksAs val="gap"/>
    <c:showDLblsOverMax val="0"/>
  </c:chart>
  <c:spPr>
    <a:noFill/>
    <a:ln>
      <a:noFill/>
    </a:ln>
  </c:spPr>
  <c:txPr>
    <a:bodyPr/>
    <a:lstStyle/>
    <a:p>
      <a:pPr>
        <a:defRPr sz="1509"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9"/>
      <c:rotY val="44"/>
      <c:depthPercent val="100"/>
      <c:rAngAx val="1"/>
    </c:view3D>
    <c:floor>
      <c:thickness val="0"/>
      <c:spPr>
        <a:solidFill>
          <a:srgbClr val="C0C0C0"/>
        </a:solidFill>
        <a:ln w="3175">
          <a:solidFill>
            <a:srgbClr val="000000"/>
          </a:solidFill>
          <a:prstDash val="solid"/>
        </a:ln>
      </c:spPr>
    </c:floor>
    <c:sideWall>
      <c:thickness val="0"/>
      <c:spPr>
        <a:noFill/>
        <a:ln w="25400">
          <a:solidFill>
            <a:sysClr val="windowText" lastClr="000000"/>
          </a:solidFill>
        </a:ln>
      </c:spPr>
    </c:sideWall>
    <c:backWall>
      <c:thickness val="0"/>
      <c:spPr>
        <a:noFill/>
        <a:ln w="25400">
          <a:solidFill>
            <a:sysClr val="windowText" lastClr="000000"/>
          </a:solidFill>
        </a:ln>
      </c:spPr>
    </c:backWall>
    <c:plotArea>
      <c:layout>
        <c:manualLayout>
          <c:layoutTarget val="inner"/>
          <c:xMode val="edge"/>
          <c:yMode val="edge"/>
          <c:x val="7.4972020006933413E-2"/>
          <c:y val="1.8092340730135999E-2"/>
          <c:w val="0.92502797999306652"/>
          <c:h val="0.74483854290940943"/>
        </c:manualLayout>
      </c:layout>
      <c:bar3DChart>
        <c:barDir val="col"/>
        <c:grouping val="clustered"/>
        <c:varyColors val="0"/>
        <c:ser>
          <c:idx val="0"/>
          <c:order val="0"/>
          <c:tx>
            <c:strRef>
              <c:f>Sheet1!#REF!</c:f>
              <c:strCache>
                <c:ptCount val="1"/>
                <c:pt idx="0">
                  <c:v>#REF!</c:v>
                </c:pt>
              </c:strCache>
            </c:strRef>
          </c:tx>
          <c:spPr>
            <a:solidFill>
              <a:srgbClr val="9999FF"/>
            </a:solidFill>
            <a:ln w="15972">
              <a:noFill/>
              <a:prstDash val="solid"/>
            </a:ln>
          </c:spPr>
          <c:invertIfNegative val="0"/>
          <c:dPt>
            <c:idx val="0"/>
            <c:invertIfNegative val="0"/>
            <c:bubble3D val="0"/>
            <c:spPr>
              <a:solidFill>
                <a:srgbClr val="7030A0"/>
              </a:solidFill>
              <a:ln w="15972">
                <a:noFill/>
                <a:prstDash val="solid"/>
              </a:ln>
            </c:spPr>
          </c:dPt>
          <c:dPt>
            <c:idx val="1"/>
            <c:invertIfNegative val="0"/>
            <c:bubble3D val="0"/>
            <c:spPr>
              <a:solidFill>
                <a:srgbClr val="FFC000"/>
              </a:solidFill>
              <a:ln>
                <a:noFill/>
              </a:ln>
            </c:spPr>
          </c:dPt>
          <c:dPt>
            <c:idx val="2"/>
            <c:invertIfNegative val="0"/>
            <c:bubble3D val="0"/>
            <c:spPr>
              <a:solidFill>
                <a:srgbClr val="7030A0"/>
              </a:solidFill>
              <a:ln w="15972">
                <a:noFill/>
                <a:prstDash val="solid"/>
              </a:ln>
            </c:spPr>
          </c:dPt>
          <c:dPt>
            <c:idx val="3"/>
            <c:invertIfNegative val="0"/>
            <c:bubble3D val="0"/>
            <c:spPr>
              <a:solidFill>
                <a:srgbClr val="FFC000"/>
              </a:solidFill>
              <a:ln w="15972">
                <a:noFill/>
                <a:prstDash val="solid"/>
              </a:ln>
            </c:spPr>
          </c:dPt>
          <c:dPt>
            <c:idx val="4"/>
            <c:invertIfNegative val="0"/>
            <c:bubble3D val="0"/>
            <c:spPr>
              <a:solidFill>
                <a:srgbClr val="7030A0"/>
              </a:solidFill>
              <a:ln w="15972">
                <a:noFill/>
                <a:prstDash val="solid"/>
              </a:ln>
            </c:spPr>
          </c:dPt>
          <c:dPt>
            <c:idx val="5"/>
            <c:invertIfNegative val="0"/>
            <c:bubble3D val="0"/>
            <c:spPr>
              <a:solidFill>
                <a:srgbClr val="FFC000"/>
              </a:solidFill>
              <a:ln w="15972">
                <a:noFill/>
                <a:prstDash val="solid"/>
              </a:ln>
            </c:spPr>
          </c:dPt>
          <c:dLbls>
            <c:dLbl>
              <c:idx val="0"/>
              <c:layout>
                <c:manualLayout>
                  <c:x val="-1.2578616352201224E-2"/>
                  <c:y val="9.9737532808398963E-2"/>
                </c:manualLayout>
              </c:layout>
              <c:tx>
                <c:rich>
                  <a:bodyPr anchor="ctr" anchorCtr="0"/>
                  <a:lstStyle/>
                  <a:p>
                    <a:pPr>
                      <a:defRPr sz="800" baseline="0">
                        <a:solidFill>
                          <a:schemeClr val="bg1"/>
                        </a:solidFill>
                      </a:defRPr>
                    </a:pPr>
                    <a:r>
                      <a:rPr lang="en-US" baseline="0" dirty="0" smtClean="0">
                        <a:solidFill>
                          <a:schemeClr val="bg1"/>
                        </a:solidFill>
                      </a:rPr>
                      <a:t>29</a:t>
                    </a:r>
                    <a:endParaRPr lang="en-US" baseline="0" dirty="0">
                      <a:solidFill>
                        <a:schemeClr val="bg1"/>
                      </a:solidFill>
                    </a:endParaRPr>
                  </a:p>
                </c:rich>
              </c:tx>
              <c:spPr/>
              <c:showLegendKey val="0"/>
              <c:showVal val="1"/>
              <c:showCatName val="0"/>
              <c:showSerName val="0"/>
              <c:showPercent val="0"/>
              <c:showBubbleSize val="0"/>
              <c:separator> </c:separator>
            </c:dLbl>
            <c:dLbl>
              <c:idx val="1"/>
              <c:delete val="1"/>
            </c:dLbl>
            <c:dLbl>
              <c:idx val="2"/>
              <c:layout>
                <c:manualLayout>
                  <c:x val="-1.2578616352201224E-2"/>
                  <c:y val="0.10498687664042"/>
                </c:manualLayout>
              </c:layout>
              <c:tx>
                <c:rich>
                  <a:bodyPr anchor="ctr" anchorCtr="0"/>
                  <a:lstStyle/>
                  <a:p>
                    <a:pPr>
                      <a:defRPr sz="800" baseline="0">
                        <a:solidFill>
                          <a:schemeClr val="bg1"/>
                        </a:solidFill>
                      </a:defRPr>
                    </a:pPr>
                    <a:r>
                      <a:rPr lang="en-US" baseline="0" dirty="0" smtClean="0">
                        <a:solidFill>
                          <a:schemeClr val="bg1"/>
                        </a:solidFill>
                      </a:rPr>
                      <a:t>45</a:t>
                    </a:r>
                    <a:endParaRPr lang="en-US" baseline="0" dirty="0">
                      <a:solidFill>
                        <a:schemeClr val="bg1"/>
                      </a:solidFill>
                    </a:endParaRPr>
                  </a:p>
                </c:rich>
              </c:tx>
              <c:spPr/>
              <c:showLegendKey val="0"/>
              <c:showVal val="1"/>
              <c:showCatName val="0"/>
              <c:showSerName val="0"/>
              <c:showPercent val="0"/>
              <c:showBubbleSize val="0"/>
              <c:separator> </c:separator>
            </c:dLbl>
            <c:dLbl>
              <c:idx val="3"/>
              <c:layout>
                <c:manualLayout>
                  <c:x val="-2.0561612490746393E-3"/>
                  <c:y val="9.4791174292307961E-2"/>
                </c:manualLayout>
              </c:layout>
              <c:tx>
                <c:rich>
                  <a:bodyPr/>
                  <a:lstStyle/>
                  <a:p>
                    <a:r>
                      <a:rPr lang="en-US"/>
                      <a:t>14</a:t>
                    </a:r>
                  </a:p>
                </c:rich>
              </c:tx>
              <c:showLegendKey val="0"/>
              <c:showVal val="1"/>
              <c:showCatName val="0"/>
              <c:showSerName val="0"/>
              <c:showPercent val="0"/>
              <c:showBubbleSize val="0"/>
              <c:separator> </c:separator>
            </c:dLbl>
            <c:dLbl>
              <c:idx val="4"/>
              <c:layout>
                <c:manualLayout>
                  <c:x val="0"/>
                  <c:y val="9.4488188976377951E-2"/>
                </c:manualLayout>
              </c:layout>
              <c:tx>
                <c:rich>
                  <a:bodyPr anchor="ctr" anchorCtr="0"/>
                  <a:lstStyle/>
                  <a:p>
                    <a:pPr>
                      <a:defRPr sz="800" baseline="0">
                        <a:solidFill>
                          <a:schemeClr val="bg1"/>
                        </a:solidFill>
                      </a:defRPr>
                    </a:pPr>
                    <a:r>
                      <a:rPr lang="en-US" baseline="0" smtClean="0">
                        <a:solidFill>
                          <a:schemeClr val="bg1"/>
                        </a:solidFill>
                      </a:rPr>
                      <a:t>58</a:t>
                    </a:r>
                    <a:endParaRPr lang="en-US" baseline="0" dirty="0">
                      <a:solidFill>
                        <a:schemeClr val="bg1"/>
                      </a:solidFill>
                    </a:endParaRPr>
                  </a:p>
                </c:rich>
              </c:tx>
              <c:spPr/>
              <c:showLegendKey val="0"/>
              <c:showVal val="1"/>
              <c:showCatName val="0"/>
              <c:showSerName val="0"/>
              <c:showPercent val="0"/>
              <c:showBubbleSize val="0"/>
              <c:separator> </c:separator>
            </c:dLbl>
            <c:dLbl>
              <c:idx val="5"/>
              <c:layout>
                <c:manualLayout>
                  <c:x val="0"/>
                  <c:y val="7.874015748031496E-2"/>
                </c:manualLayout>
              </c:layout>
              <c:tx>
                <c:rich>
                  <a:bodyPr anchor="ctr" anchorCtr="0"/>
                  <a:lstStyle/>
                  <a:p>
                    <a:pPr>
                      <a:defRPr sz="800" baseline="0">
                        <a:solidFill>
                          <a:schemeClr val="bg1"/>
                        </a:solidFill>
                      </a:defRPr>
                    </a:pPr>
                    <a:r>
                      <a:rPr lang="en-US" baseline="0">
                        <a:solidFill>
                          <a:sysClr val="windowText" lastClr="000000"/>
                        </a:solidFill>
                      </a:rPr>
                      <a:t>14</a:t>
                    </a:r>
                  </a:p>
                </c:rich>
              </c:tx>
              <c:spPr/>
              <c:showLegendKey val="0"/>
              <c:showVal val="1"/>
              <c:showCatName val="0"/>
              <c:showSerName val="0"/>
              <c:showPercent val="0"/>
              <c:showBubbleSize val="0"/>
              <c:separator> </c:separator>
            </c:dLbl>
            <c:dLbl>
              <c:idx val="6"/>
              <c:layout>
                <c:manualLayout>
                  <c:x val="-7.6868434161631186E-17"/>
                  <c:y val="9.4488188976377951E-2"/>
                </c:manualLayout>
              </c:layout>
              <c:tx>
                <c:rich>
                  <a:bodyPr anchor="ctr" anchorCtr="0"/>
                  <a:lstStyle/>
                  <a:p>
                    <a:pPr>
                      <a:defRPr sz="800" baseline="0">
                        <a:solidFill>
                          <a:schemeClr val="bg1"/>
                        </a:solidFill>
                      </a:defRPr>
                    </a:pPr>
                    <a:r>
                      <a:rPr lang="en-US" baseline="0">
                        <a:solidFill>
                          <a:schemeClr val="bg1"/>
                        </a:solidFill>
                      </a:rPr>
                      <a:t>320</a:t>
                    </a:r>
                  </a:p>
                </c:rich>
              </c:tx>
              <c:spPr/>
              <c:showLegendKey val="0"/>
              <c:showVal val="1"/>
              <c:showCatName val="0"/>
              <c:showSerName val="0"/>
              <c:showPercent val="0"/>
              <c:showBubbleSize val="0"/>
              <c:separator> </c:separator>
            </c:dLbl>
            <c:dLbl>
              <c:idx val="7"/>
              <c:layout>
                <c:manualLayout>
                  <c:x val="0"/>
                  <c:y val="0.11023622047244128"/>
                </c:manualLayout>
              </c:layout>
              <c:tx>
                <c:rich>
                  <a:bodyPr anchor="ctr" anchorCtr="0"/>
                  <a:lstStyle/>
                  <a:p>
                    <a:pPr>
                      <a:defRPr sz="800" baseline="0">
                        <a:solidFill>
                          <a:schemeClr val="bg1"/>
                        </a:solidFill>
                      </a:defRPr>
                    </a:pPr>
                    <a:r>
                      <a:rPr lang="en-US" baseline="0">
                        <a:solidFill>
                          <a:sysClr val="windowText" lastClr="000000"/>
                        </a:solidFill>
                      </a:rPr>
                      <a:t>108</a:t>
                    </a:r>
                  </a:p>
                </c:rich>
              </c:tx>
              <c:spPr/>
              <c:showLegendKey val="0"/>
              <c:showVal val="1"/>
              <c:showCatName val="0"/>
              <c:showSerName val="0"/>
              <c:showPercent val="0"/>
              <c:showBubbleSize val="0"/>
              <c:separator> </c:separator>
            </c:dLbl>
            <c:dLbl>
              <c:idx val="8"/>
              <c:layout>
                <c:manualLayout>
                  <c:x val="0"/>
                  <c:y val="8.9238845144357398E-2"/>
                </c:manualLayout>
              </c:layout>
              <c:tx>
                <c:rich>
                  <a:bodyPr anchor="ctr" anchorCtr="0"/>
                  <a:lstStyle/>
                  <a:p>
                    <a:pPr>
                      <a:defRPr sz="800" baseline="0">
                        <a:solidFill>
                          <a:schemeClr val="bg1"/>
                        </a:solidFill>
                      </a:defRPr>
                    </a:pPr>
                    <a:r>
                      <a:rPr lang="en-US" baseline="0">
                        <a:solidFill>
                          <a:schemeClr val="bg1"/>
                        </a:solidFill>
                      </a:rPr>
                      <a:t>255</a:t>
                    </a:r>
                  </a:p>
                </c:rich>
              </c:tx>
              <c:spPr/>
              <c:showLegendKey val="0"/>
              <c:showVal val="1"/>
              <c:showCatName val="0"/>
              <c:showSerName val="0"/>
              <c:showPercent val="0"/>
              <c:showBubbleSize val="0"/>
              <c:separator> </c:separator>
            </c:dLbl>
            <c:dLbl>
              <c:idx val="9"/>
              <c:layout>
                <c:manualLayout>
                  <c:x val="0"/>
                  <c:y val="9.4488188976377951E-2"/>
                </c:manualLayout>
              </c:layout>
              <c:tx>
                <c:rich>
                  <a:bodyPr/>
                  <a:lstStyle/>
                  <a:p>
                    <a:r>
                      <a:rPr lang="en-US"/>
                      <a:t>76</a:t>
                    </a:r>
                  </a:p>
                </c:rich>
              </c:tx>
              <c:showLegendKey val="0"/>
              <c:showVal val="1"/>
              <c:showCatName val="0"/>
              <c:showSerName val="0"/>
              <c:showPercent val="0"/>
              <c:showBubbleSize val="0"/>
              <c:separator> </c:separator>
            </c:dLbl>
            <c:txPr>
              <a:bodyPr anchor="ctr" anchorCtr="0"/>
              <a:lstStyle/>
              <a:p>
                <a:pPr>
                  <a:defRPr sz="800">
                    <a:solidFill>
                      <a:schemeClr val="tx1"/>
                    </a:solidFill>
                  </a:defRPr>
                </a:pPr>
                <a:endParaRPr lang="en-US"/>
              </a:p>
            </c:txPr>
            <c:showLegendKey val="0"/>
            <c:showVal val="1"/>
            <c:showCatName val="0"/>
            <c:showSerName val="0"/>
            <c:showPercent val="0"/>
            <c:showBubbleSize val="0"/>
            <c:separator> </c:separator>
            <c:showLeaderLines val="0"/>
          </c:dLbls>
          <c:cat>
            <c:strRef>
              <c:f>'Sheet1'!$A$1:$X$1</c:f>
              <c:strCache>
                <c:ptCount val="6"/>
                <c:pt idx="0">
                  <c:v>2006-2007</c:v>
                </c:pt>
                <c:pt idx="1">
                  <c:v>MSN degree </c:v>
                </c:pt>
                <c:pt idx="2">
                  <c:v>2007-2008</c:v>
                </c:pt>
                <c:pt idx="3">
                  <c:v>MSN Degree </c:v>
                </c:pt>
                <c:pt idx="4">
                  <c:v>2008-2009</c:v>
                </c:pt>
                <c:pt idx="5">
                  <c:v>MSN Degree </c:v>
                </c:pt>
              </c:strCache>
            </c:strRef>
          </c:cat>
          <c:val>
            <c:numRef>
              <c:f>'Sheet1'!$A$2:$X$2</c:f>
              <c:numCache>
                <c:formatCode>General</c:formatCode>
                <c:ptCount val="6"/>
                <c:pt idx="0">
                  <c:v>29</c:v>
                </c:pt>
                <c:pt idx="1">
                  <c:v>0</c:v>
                </c:pt>
                <c:pt idx="2">
                  <c:v>44</c:v>
                </c:pt>
                <c:pt idx="3">
                  <c:v>14</c:v>
                </c:pt>
                <c:pt idx="4">
                  <c:v>56</c:v>
                </c:pt>
                <c:pt idx="5">
                  <c:v>14</c:v>
                </c:pt>
              </c:numCache>
            </c:numRef>
          </c:val>
        </c:ser>
        <c:dLbls>
          <c:showLegendKey val="0"/>
          <c:showVal val="1"/>
          <c:showCatName val="0"/>
          <c:showSerName val="1"/>
          <c:showPercent val="0"/>
          <c:showBubbleSize val="0"/>
          <c:separator> </c:separator>
        </c:dLbls>
        <c:gapWidth val="41"/>
        <c:gapDepth val="25"/>
        <c:shape val="box"/>
        <c:axId val="30214784"/>
        <c:axId val="30228864"/>
        <c:axId val="0"/>
      </c:bar3DChart>
      <c:catAx>
        <c:axId val="30214784"/>
        <c:scaling>
          <c:orientation val="minMax"/>
        </c:scaling>
        <c:delete val="0"/>
        <c:axPos val="b"/>
        <c:numFmt formatCode="General" sourceLinked="1"/>
        <c:majorTickMark val="out"/>
        <c:minorTickMark val="none"/>
        <c:tickLblPos val="low"/>
        <c:spPr>
          <a:ln w="3993">
            <a:solidFill>
              <a:srgbClr val="000000"/>
            </a:solidFill>
            <a:prstDash val="solid"/>
          </a:ln>
        </c:spPr>
        <c:txPr>
          <a:bodyPr rot="1860000" vert="horz"/>
          <a:lstStyle/>
          <a:p>
            <a:pPr>
              <a:defRPr sz="723" b="1" i="0" u="none" strike="noStrike" baseline="0">
                <a:solidFill>
                  <a:srgbClr val="000000"/>
                </a:solidFill>
                <a:latin typeface="Arial"/>
                <a:ea typeface="Arial"/>
                <a:cs typeface="Arial"/>
              </a:defRPr>
            </a:pPr>
            <a:endParaRPr lang="en-US"/>
          </a:p>
        </c:txPr>
        <c:crossAx val="30228864"/>
        <c:crosses val="autoZero"/>
        <c:auto val="0"/>
        <c:lblAlgn val="ctr"/>
        <c:lblOffset val="100"/>
        <c:tickLblSkip val="1"/>
        <c:tickMarkSkip val="1"/>
        <c:noMultiLvlLbl val="0"/>
      </c:catAx>
      <c:valAx>
        <c:axId val="30228864"/>
        <c:scaling>
          <c:orientation val="minMax"/>
        </c:scaling>
        <c:delete val="0"/>
        <c:axPos val="l"/>
        <c:majorGridlines>
          <c:spPr>
            <a:ln w="3993">
              <a:solidFill>
                <a:srgbClr val="000000"/>
              </a:solidFill>
              <a:prstDash val="solid"/>
            </a:ln>
          </c:spPr>
        </c:majorGridlines>
        <c:numFmt formatCode="General" sourceLinked="1"/>
        <c:majorTickMark val="out"/>
        <c:minorTickMark val="none"/>
        <c:tickLblPos val="nextTo"/>
        <c:spPr>
          <a:ln w="3993">
            <a:solidFill>
              <a:srgbClr val="000000"/>
            </a:solidFill>
            <a:prstDash val="solid"/>
          </a:ln>
        </c:spPr>
        <c:txPr>
          <a:bodyPr rot="0" vert="horz"/>
          <a:lstStyle/>
          <a:p>
            <a:pPr>
              <a:defRPr sz="597" b="1" i="0" u="none" strike="noStrike" baseline="0">
                <a:solidFill>
                  <a:srgbClr val="000000"/>
                </a:solidFill>
                <a:latin typeface="Arial"/>
                <a:ea typeface="Arial"/>
                <a:cs typeface="Arial"/>
              </a:defRPr>
            </a:pPr>
            <a:endParaRPr lang="en-US"/>
          </a:p>
        </c:txPr>
        <c:crossAx val="30214784"/>
        <c:crosses val="autoZero"/>
        <c:crossBetween val="between"/>
      </c:valAx>
      <c:spPr>
        <a:noFill/>
        <a:ln>
          <a:solidFill>
            <a:srgbClr val="8064A2">
              <a:lumMod val="50000"/>
            </a:srgbClr>
          </a:solidFill>
        </a:ln>
      </c:spPr>
    </c:plotArea>
    <c:plotVisOnly val="1"/>
    <c:dispBlanksAs val="gap"/>
    <c:showDLblsOverMax val="0"/>
  </c:chart>
  <c:spPr>
    <a:noFill/>
    <a:ln w="6350" cap="flat" cmpd="sng" algn="ctr">
      <a:solidFill>
        <a:sysClr val="windowText" lastClr="000000">
          <a:alpha val="58000"/>
        </a:sysClr>
      </a:solidFill>
      <a:prstDash val="solid"/>
      <a:miter lim="800000"/>
      <a:headEnd type="none" w="med" len="med"/>
      <a:tailEnd type="none" w="med" len="med"/>
    </a:ln>
  </c:spPr>
  <c:txPr>
    <a:bodyPr/>
    <a:lstStyle/>
    <a:p>
      <a:pPr>
        <a:defRPr sz="1509"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lgn="ctr">
              <a:defRPr/>
            </a:pPr>
            <a:r>
              <a:rPr lang="en-US" sz="900"/>
              <a:t>5</a:t>
            </a:r>
            <a:r>
              <a:rPr lang="en-US" sz="900" baseline="0"/>
              <a:t> Y</a:t>
            </a:r>
            <a:r>
              <a:rPr lang="en-US" sz="900"/>
              <a:t>ear RN to BSN Student Enrollment Status</a:t>
            </a:r>
          </a:p>
        </c:rich>
      </c:tx>
      <c:layout>
        <c:manualLayout>
          <c:xMode val="edge"/>
          <c:yMode val="edge"/>
          <c:x val="0.15024131692276335"/>
          <c:y val="1.7635295588051493E-3"/>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5 yr. RN to BSN Student Enrollment Status</c:v>
                </c:pt>
              </c:strCache>
            </c:strRef>
          </c:tx>
          <c:explosion val="35"/>
          <c:dPt>
            <c:idx val="0"/>
            <c:bubble3D val="0"/>
            <c:spPr>
              <a:solidFill>
                <a:srgbClr val="FFC000"/>
              </a:solidFill>
            </c:spPr>
          </c:dPt>
          <c:dLbls>
            <c:dLbl>
              <c:idx val="0"/>
              <c:tx>
                <c:rich>
                  <a:bodyPr/>
                  <a:lstStyle/>
                  <a:p>
                    <a:r>
                      <a:rPr lang="en-US" sz="1100"/>
                      <a:t>Full-Time, 42= 8%</a:t>
                    </a:r>
                  </a:p>
                </c:rich>
              </c:tx>
              <c:dLblPos val="bestFit"/>
              <c:showLegendKey val="0"/>
              <c:showVal val="1"/>
              <c:showCatName val="1"/>
              <c:showSerName val="0"/>
              <c:showPercent val="1"/>
              <c:showBubbleSize val="0"/>
            </c:dLbl>
            <c:dLbl>
              <c:idx val="1"/>
              <c:layout>
                <c:manualLayout>
                  <c:x val="-7.2495951303959374E-2"/>
                  <c:y val="-4.5088566827697275E-2"/>
                </c:manualLayout>
              </c:layout>
              <c:tx>
                <c:rich>
                  <a:bodyPr/>
                  <a:lstStyle/>
                  <a:p>
                    <a:r>
                      <a:rPr lang="en-US" sz="1100"/>
                      <a:t>Part-Time, 220= 42%</a:t>
                    </a:r>
                  </a:p>
                </c:rich>
              </c:tx>
              <c:dLblPos val="bestFit"/>
              <c:showLegendKey val="0"/>
              <c:showVal val="1"/>
              <c:showCatName val="1"/>
              <c:showSerName val="0"/>
              <c:showPercent val="1"/>
              <c:showBubbleSize val="0"/>
            </c:dLbl>
            <c:dLbl>
              <c:idx val="2"/>
              <c:layout>
                <c:manualLayout>
                  <c:x val="-4.2231490294482421E-2"/>
                  <c:y val="-0.15538096626810538"/>
                </c:manualLayout>
              </c:layout>
              <c:tx>
                <c:rich>
                  <a:bodyPr/>
                  <a:lstStyle/>
                  <a:p>
                    <a:r>
                      <a:rPr lang="en-US" sz="1100"/>
                      <a:t>Total, 262=50%</a:t>
                    </a:r>
                  </a:p>
                </c:rich>
              </c:tx>
              <c:dLblPos val="bestFit"/>
              <c:showLegendKey val="0"/>
              <c:showVal val="1"/>
              <c:showCatName val="1"/>
              <c:showSerName val="0"/>
              <c:showPercent val="1"/>
              <c:showBubbleSize val="0"/>
            </c:dLbl>
            <c:numFmt formatCode="General" sourceLinked="0"/>
            <c:txPr>
              <a:bodyPr/>
              <a:lstStyle/>
              <a:p>
                <a:pPr>
                  <a:defRPr sz="1100"/>
                </a:pPr>
                <a:endParaRPr lang="en-US"/>
              </a:p>
            </c:txPr>
            <c:dLblPos val="bestFit"/>
            <c:showLegendKey val="0"/>
            <c:showVal val="1"/>
            <c:showCatName val="1"/>
            <c:showSerName val="0"/>
            <c:showPercent val="1"/>
            <c:showBubbleSize val="0"/>
            <c:showLeaderLines val="1"/>
          </c:dLbls>
          <c:cat>
            <c:strRef>
              <c:f>Sheet1!$A$2:$A$5</c:f>
              <c:strCache>
                <c:ptCount val="2"/>
                <c:pt idx="0">
                  <c:v>Full-Time</c:v>
                </c:pt>
                <c:pt idx="1">
                  <c:v>Part-Time</c:v>
                </c:pt>
              </c:strCache>
            </c:strRef>
          </c:cat>
          <c:val>
            <c:numRef>
              <c:f>Sheet1!$B$2:$B$5</c:f>
              <c:numCache>
                <c:formatCode>General</c:formatCode>
                <c:ptCount val="4"/>
                <c:pt idx="0">
                  <c:v>42</c:v>
                </c:pt>
                <c:pt idx="1">
                  <c:v>219.6</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545" b="1" i="0" u="none" strike="noStrike" baseline="0">
                <a:solidFill>
                  <a:srgbClr val="000000"/>
                </a:solidFill>
                <a:latin typeface="Arial"/>
                <a:ea typeface="Arial"/>
                <a:cs typeface="Arial"/>
              </a:defRPr>
            </a:pPr>
            <a:r>
              <a:rPr lang="en-US" sz="1285" b="1" i="0" u="none" strike="noStrike" baseline="0">
                <a:solidFill>
                  <a:srgbClr val="000000"/>
                </a:solidFill>
                <a:latin typeface="Arial"/>
                <a:cs typeface="Arial"/>
              </a:rPr>
              <a:t> </a:t>
            </a:r>
            <a:r>
              <a:rPr lang="en-US" sz="1100" b="1" i="0" u="none" strike="noStrike" baseline="0">
                <a:solidFill>
                  <a:srgbClr val="000000"/>
                </a:solidFill>
                <a:latin typeface="Arial"/>
                <a:cs typeface="Arial"/>
              </a:rPr>
              <a:t>Online Nursing Dept. Credit Hour Production</a:t>
            </a:r>
            <a:endParaRPr lang="en-US" sz="800" b="1" i="0" u="none" strike="noStrike" baseline="0">
              <a:solidFill>
                <a:srgbClr val="000000"/>
              </a:solidFill>
              <a:latin typeface="Calibri"/>
              <a:cs typeface="Calibri"/>
            </a:endParaRPr>
          </a:p>
          <a:p>
            <a:pPr algn="ctr">
              <a:defRPr sz="1545" b="1" i="0" u="none" strike="noStrike" baseline="0">
                <a:solidFill>
                  <a:srgbClr val="000000"/>
                </a:solidFill>
                <a:latin typeface="Arial"/>
                <a:ea typeface="Arial"/>
                <a:cs typeface="Arial"/>
              </a:defRPr>
            </a:pPr>
            <a:r>
              <a:rPr lang="en-US" sz="1030" b="1" i="0" u="none" strike="noStrike" baseline="0">
                <a:solidFill>
                  <a:srgbClr val="000000"/>
                </a:solidFill>
                <a:latin typeface="Calibri"/>
                <a:cs typeface="Calibri"/>
              </a:rPr>
              <a:t>  </a:t>
            </a:r>
          </a:p>
        </c:rich>
      </c:tx>
      <c:layout>
        <c:manualLayout>
          <c:xMode val="edge"/>
          <c:yMode val="edge"/>
          <c:x val="0.18811907983761844"/>
          <c:y val="1.0828058257423706E-3"/>
        </c:manualLayout>
      </c:layout>
      <c:overlay val="0"/>
      <c:spPr>
        <a:noFill/>
        <a:ln w="32697">
          <a:noFill/>
        </a:ln>
      </c:spPr>
    </c:title>
    <c:autoTitleDeleted val="0"/>
    <c:view3D>
      <c:rotX val="30"/>
      <c:rotY val="44"/>
      <c:depthPercent val="100"/>
      <c:rAngAx val="1"/>
    </c:view3D>
    <c:floor>
      <c:thickness val="0"/>
      <c:spPr>
        <a:solidFill>
          <a:srgbClr val="C0C0C0"/>
        </a:solidFill>
        <a:ln w="3175">
          <a:solidFill>
            <a:srgbClr val="000000"/>
          </a:solidFill>
          <a:prstDash val="solid"/>
        </a:ln>
      </c:spPr>
    </c:floor>
    <c:sideWall>
      <c:thickness val="0"/>
      <c:spPr>
        <a:ln w="12700">
          <a:solidFill>
            <a:srgbClr val="808080"/>
          </a:solidFill>
          <a:prstDash val="solid"/>
        </a:ln>
      </c:spPr>
    </c:sideWall>
    <c:backWall>
      <c:thickness val="0"/>
    </c:backWall>
    <c:plotArea>
      <c:layout>
        <c:manualLayout>
          <c:layoutTarget val="inner"/>
          <c:xMode val="edge"/>
          <c:yMode val="edge"/>
          <c:x val="8.0356301876338534E-2"/>
          <c:y val="0.18361587154546863"/>
          <c:w val="0.89915966386554624"/>
          <c:h val="0.72033898305084743"/>
        </c:manualLayout>
      </c:layout>
      <c:bar3DChart>
        <c:barDir val="col"/>
        <c:grouping val="standard"/>
        <c:varyColors val="0"/>
        <c:ser>
          <c:idx val="0"/>
          <c:order val="0"/>
          <c:tx>
            <c:strRef>
              <c:f>Sheet1!$A$2</c:f>
              <c:strCache>
                <c:ptCount val="1"/>
              </c:strCache>
            </c:strRef>
          </c:tx>
          <c:spPr>
            <a:solidFill>
              <a:srgbClr val="7030A0"/>
            </a:solidFill>
          </c:spPr>
          <c:invertIfNegative val="0"/>
          <c:dPt>
            <c:idx val="9"/>
            <c:invertIfNegative val="0"/>
            <c:bubble3D val="0"/>
            <c:spPr>
              <a:solidFill>
                <a:srgbClr val="FFC000"/>
              </a:solidFill>
            </c:spPr>
          </c:dPt>
          <c:dPt>
            <c:idx val="10"/>
            <c:invertIfNegative val="0"/>
            <c:bubble3D val="0"/>
            <c:spPr>
              <a:solidFill>
                <a:srgbClr val="FFC000"/>
              </a:solidFill>
            </c:spPr>
          </c:dPt>
          <c:dPt>
            <c:idx val="11"/>
            <c:invertIfNegative val="0"/>
            <c:bubble3D val="0"/>
            <c:spPr>
              <a:solidFill>
                <a:srgbClr val="FFC000"/>
              </a:solidFill>
            </c:spPr>
          </c:dPt>
          <c:dPt>
            <c:idx val="12"/>
            <c:invertIfNegative val="0"/>
            <c:bubble3D val="0"/>
            <c:spPr>
              <a:solidFill>
                <a:srgbClr val="FFC000"/>
              </a:solidFill>
            </c:spPr>
          </c:dPt>
          <c:dLbls>
            <c:dLbl>
              <c:idx val="0"/>
              <c:layout>
                <c:manualLayout>
                  <c:x val="2.7063599458728011E-2"/>
                  <c:y val="-6.5359477124183024E-2"/>
                </c:manualLayout>
              </c:layout>
              <c:showLegendKey val="0"/>
              <c:showVal val="1"/>
              <c:showCatName val="0"/>
              <c:showSerName val="0"/>
              <c:showPercent val="0"/>
              <c:showBubbleSize val="0"/>
            </c:dLbl>
            <c:dLbl>
              <c:idx val="1"/>
              <c:layout>
                <c:manualLayout>
                  <c:x val="2.9769746305392468E-2"/>
                  <c:y val="-3.9215686274509803E-2"/>
                </c:manualLayout>
              </c:layout>
              <c:showLegendKey val="0"/>
              <c:showVal val="1"/>
              <c:showCatName val="0"/>
              <c:showSerName val="0"/>
              <c:showPercent val="0"/>
              <c:showBubbleSize val="0"/>
            </c:dLbl>
            <c:dLbl>
              <c:idx val="2"/>
              <c:layout>
                <c:manualLayout>
                  <c:x val="3.7889039242219251E-2"/>
                  <c:y val="-3.2679738562091554E-2"/>
                </c:manualLayout>
              </c:layout>
              <c:tx>
                <c:rich>
                  <a:bodyPr/>
                  <a:lstStyle/>
                  <a:p>
                    <a:r>
                      <a:rPr lang="en-US" baseline="0">
                        <a:solidFill>
                          <a:schemeClr val="tx1"/>
                        </a:solidFill>
                      </a:rPr>
                      <a:t>2859</a:t>
                    </a:r>
                  </a:p>
                </c:rich>
              </c:tx>
              <c:showLegendKey val="0"/>
              <c:showVal val="1"/>
              <c:showCatName val="0"/>
              <c:showSerName val="0"/>
              <c:showPercent val="0"/>
              <c:showBubbleSize val="0"/>
            </c:dLbl>
            <c:dLbl>
              <c:idx val="3"/>
              <c:layout>
                <c:manualLayout>
                  <c:x val="3.7889039242219251E-2"/>
                  <c:y val="-5.2287581699346476E-2"/>
                </c:manualLayout>
              </c:layout>
              <c:showLegendKey val="0"/>
              <c:showVal val="1"/>
              <c:showCatName val="0"/>
              <c:showSerName val="0"/>
              <c:showPercent val="0"/>
              <c:showBubbleSize val="0"/>
            </c:dLbl>
            <c:dLbl>
              <c:idx val="4"/>
              <c:layout>
                <c:manualLayout>
                  <c:x val="4.6008119079837567E-2"/>
                  <c:y val="-5.8823529411764705E-2"/>
                </c:manualLayout>
              </c:layout>
              <c:showLegendKey val="0"/>
              <c:showVal val="1"/>
              <c:showCatName val="0"/>
              <c:showSerName val="0"/>
              <c:showPercent val="0"/>
              <c:showBubbleSize val="0"/>
            </c:dLbl>
            <c:dLbl>
              <c:idx val="5"/>
              <c:layout>
                <c:manualLayout>
                  <c:x val="4.0595399188092018E-2"/>
                  <c:y val="-5.8823529411764705E-2"/>
                </c:manualLayout>
              </c:layout>
              <c:showLegendKey val="0"/>
              <c:showVal val="1"/>
              <c:showCatName val="0"/>
              <c:showSerName val="0"/>
              <c:showPercent val="0"/>
              <c:showBubbleSize val="0"/>
            </c:dLbl>
            <c:dLbl>
              <c:idx val="6"/>
              <c:layout>
                <c:manualLayout>
                  <c:x val="4.3301759133964807E-2"/>
                  <c:y val="-5.2287581699346476E-2"/>
                </c:manualLayout>
              </c:layout>
              <c:showLegendKey val="0"/>
              <c:showVal val="1"/>
              <c:showCatName val="0"/>
              <c:showSerName val="0"/>
              <c:showPercent val="0"/>
              <c:showBubbleSize val="0"/>
            </c:dLbl>
            <c:dLbl>
              <c:idx val="7"/>
              <c:layout>
                <c:manualLayout>
                  <c:x val="4.6008119079837616E-2"/>
                  <c:y val="-5.8823529411764705E-2"/>
                </c:manualLayout>
              </c:layout>
              <c:showLegendKey val="0"/>
              <c:showVal val="1"/>
              <c:showCatName val="0"/>
              <c:showSerName val="0"/>
              <c:showPercent val="0"/>
              <c:showBubbleSize val="0"/>
            </c:dLbl>
            <c:dLbl>
              <c:idx val="9"/>
              <c:layout>
                <c:manualLayout>
                  <c:x val="4.3301546034756479E-2"/>
                  <c:y val="-3.2680253203643692E-2"/>
                </c:manualLayout>
              </c:layout>
              <c:showLegendKey val="0"/>
              <c:showVal val="1"/>
              <c:showCatName val="0"/>
              <c:showSerName val="0"/>
              <c:showPercent val="0"/>
              <c:showBubbleSize val="0"/>
            </c:dLbl>
            <c:dLbl>
              <c:idx val="10"/>
              <c:layout>
                <c:manualLayout>
                  <c:x val="4.3301759133964876E-2"/>
                  <c:y val="-3.9216200916061997E-2"/>
                </c:manualLayout>
              </c:layout>
              <c:showLegendKey val="0"/>
              <c:showVal val="1"/>
              <c:showCatName val="0"/>
              <c:showSerName val="0"/>
              <c:showPercent val="0"/>
              <c:showBubbleSize val="0"/>
            </c:dLbl>
            <c:dLbl>
              <c:idx val="11"/>
              <c:layout>
                <c:manualLayout>
                  <c:x val="4.6007905980629302E-2"/>
                  <c:y val="-4.5751633986928185E-2"/>
                </c:manualLayout>
              </c:layout>
              <c:showLegendKey val="0"/>
              <c:showVal val="1"/>
              <c:showCatName val="0"/>
              <c:showSerName val="0"/>
              <c:showPercent val="0"/>
              <c:showBubbleSize val="0"/>
            </c:dLbl>
            <c:spPr>
              <a:noFill/>
              <a:ln w="32697">
                <a:noFill/>
              </a:ln>
            </c:spPr>
            <c:txPr>
              <a:bodyPr anchor="t" anchorCtr="1"/>
              <a:lstStyle/>
              <a:p>
                <a:pPr>
                  <a:defRPr sz="700" b="1" i="0" u="none" strike="noStrike" baseline="0">
                    <a:solidFill>
                      <a:schemeClr val="tx1"/>
                    </a:solidFill>
                    <a:latin typeface="Arial"/>
                    <a:ea typeface="Arial"/>
                    <a:cs typeface="Arial"/>
                  </a:defRPr>
                </a:pPr>
                <a:endParaRPr lang="en-US"/>
              </a:p>
            </c:txPr>
            <c:showLegendKey val="0"/>
            <c:showVal val="1"/>
            <c:showCatName val="0"/>
            <c:showSerName val="0"/>
            <c:showPercent val="0"/>
            <c:showBubbleSize val="0"/>
            <c:showLeaderLines val="0"/>
          </c:dLbls>
          <c:cat>
            <c:strRef>
              <c:f>Sheet1!$B$1:$N$1</c:f>
              <c:strCache>
                <c:ptCount val="12"/>
                <c:pt idx="0">
                  <c:v>2001</c:v>
                </c:pt>
                <c:pt idx="1">
                  <c:v>2002-03</c:v>
                </c:pt>
                <c:pt idx="2">
                  <c:v>2003-04</c:v>
                </c:pt>
                <c:pt idx="3">
                  <c:v>2004-05</c:v>
                </c:pt>
                <c:pt idx="4">
                  <c:v>2005-06</c:v>
                </c:pt>
                <c:pt idx="5">
                  <c:v>2006-07</c:v>
                </c:pt>
                <c:pt idx="6">
                  <c:v>2007-08</c:v>
                </c:pt>
                <c:pt idx="7">
                  <c:v>2008-09</c:v>
                </c:pt>
                <c:pt idx="9">
                  <c:v>2006-07</c:v>
                </c:pt>
                <c:pt idx="10">
                  <c:v>2007-08</c:v>
                </c:pt>
                <c:pt idx="11">
                  <c:v>2008-09</c:v>
                </c:pt>
              </c:strCache>
            </c:strRef>
          </c:cat>
          <c:val>
            <c:numRef>
              <c:f>Sheet1!$B$2:$N$2</c:f>
              <c:numCache>
                <c:formatCode>General</c:formatCode>
                <c:ptCount val="13"/>
                <c:pt idx="0">
                  <c:v>630</c:v>
                </c:pt>
                <c:pt idx="1">
                  <c:v>2505</c:v>
                </c:pt>
                <c:pt idx="2">
                  <c:v>2859</c:v>
                </c:pt>
                <c:pt idx="3">
                  <c:v>3234</c:v>
                </c:pt>
                <c:pt idx="4">
                  <c:v>3258</c:v>
                </c:pt>
                <c:pt idx="5">
                  <c:v>3189</c:v>
                </c:pt>
                <c:pt idx="6">
                  <c:v>4166</c:v>
                </c:pt>
                <c:pt idx="7">
                  <c:v>3782</c:v>
                </c:pt>
                <c:pt idx="9">
                  <c:v>270</c:v>
                </c:pt>
                <c:pt idx="10">
                  <c:v>513</c:v>
                </c:pt>
                <c:pt idx="11">
                  <c:v>597</c:v>
                </c:pt>
              </c:numCache>
            </c:numRef>
          </c:val>
        </c:ser>
        <c:dLbls>
          <c:showLegendKey val="0"/>
          <c:showVal val="1"/>
          <c:showCatName val="0"/>
          <c:showSerName val="1"/>
          <c:showPercent val="0"/>
          <c:showBubbleSize val="0"/>
          <c:separator> </c:separator>
        </c:dLbls>
        <c:gapWidth val="150"/>
        <c:gapDepth val="0"/>
        <c:shape val="box"/>
        <c:axId val="30337280"/>
        <c:axId val="30339072"/>
        <c:axId val="30259392"/>
      </c:bar3DChart>
      <c:catAx>
        <c:axId val="30337280"/>
        <c:scaling>
          <c:orientation val="minMax"/>
        </c:scaling>
        <c:delete val="0"/>
        <c:axPos val="b"/>
        <c:numFmt formatCode="General" sourceLinked="1"/>
        <c:majorTickMark val="out"/>
        <c:minorTickMark val="none"/>
        <c:tickLblPos val="low"/>
        <c:spPr>
          <a:ln w="4087">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30339072"/>
        <c:crosses val="autoZero"/>
        <c:auto val="0"/>
        <c:lblAlgn val="ctr"/>
        <c:lblOffset val="100"/>
        <c:tickLblSkip val="1"/>
        <c:tickMarkSkip val="1"/>
        <c:noMultiLvlLbl val="0"/>
      </c:catAx>
      <c:valAx>
        <c:axId val="30339072"/>
        <c:scaling>
          <c:orientation val="minMax"/>
          <c:max val="4000"/>
        </c:scaling>
        <c:delete val="0"/>
        <c:axPos val="l"/>
        <c:majorGridlines/>
        <c:numFmt formatCode="General" sourceLinked="0"/>
        <c:majorTickMark val="out"/>
        <c:minorTickMark val="none"/>
        <c:tickLblPos val="nextTo"/>
        <c:txPr>
          <a:bodyPr rot="0" vert="horz"/>
          <a:lstStyle/>
          <a:p>
            <a:pPr>
              <a:defRPr sz="700" b="0" i="0" kern="1300" spc="0" normalizeH="0" baseline="0"/>
            </a:pPr>
            <a:endParaRPr lang="en-US"/>
          </a:p>
        </c:txPr>
        <c:crossAx val="30337280"/>
        <c:crosses val="autoZero"/>
        <c:crossBetween val="between"/>
        <c:majorUnit val="500"/>
        <c:minorUnit val="50"/>
      </c:valAx>
      <c:serAx>
        <c:axId val="30259392"/>
        <c:scaling>
          <c:orientation val="minMax"/>
        </c:scaling>
        <c:delete val="0"/>
        <c:axPos val="b"/>
        <c:numFmt formatCode="General" sourceLinked="1"/>
        <c:majorTickMark val="out"/>
        <c:minorTickMark val="none"/>
        <c:tickLblPos val="nextTo"/>
        <c:spPr>
          <a:ln w="3175">
            <a:solidFill>
              <a:srgbClr val="808080"/>
            </a:solidFill>
            <a:prstDash val="solid"/>
          </a:ln>
        </c:spPr>
        <c:txPr>
          <a:bodyPr rot="0" vert="horz"/>
          <a:lstStyle/>
          <a:p>
            <a:pPr>
              <a:defRPr sz="1545" b="1" i="0" u="none" strike="noStrike" baseline="0">
                <a:solidFill>
                  <a:srgbClr val="000000"/>
                </a:solidFill>
                <a:latin typeface="Arial"/>
                <a:ea typeface="Arial"/>
                <a:cs typeface="Arial"/>
              </a:defRPr>
            </a:pPr>
            <a:endParaRPr lang="en-US"/>
          </a:p>
        </c:txPr>
        <c:crossAx val="30339072"/>
        <c:crosses val="autoZero"/>
        <c:tickLblSkip val="1"/>
        <c:tickMarkSkip val="1"/>
      </c:serAx>
      <c:spPr>
        <a:solidFill>
          <a:sysClr val="window" lastClr="FFFFFF"/>
        </a:solidFill>
        <a:ln w="25400">
          <a:noFill/>
        </a:ln>
      </c:spPr>
    </c:plotArea>
    <c:plotVisOnly val="1"/>
    <c:dispBlanksAs val="gap"/>
    <c:showDLblsOverMax val="0"/>
  </c:chart>
  <c:spPr>
    <a:solidFill>
      <a:srgbClr val="EAEAEA"/>
    </a:solidFill>
    <a:ln w="6350" cap="flat" cmpd="sng" algn="ctr">
      <a:solidFill>
        <a:srgbClr val="000000"/>
      </a:solidFill>
      <a:prstDash val="solid"/>
      <a:miter lim="800000"/>
      <a:headEnd type="none" w="med" len="med"/>
      <a:tailEnd type="none" w="med" len="med"/>
    </a:ln>
  </c:spPr>
  <c:txPr>
    <a:bodyPr/>
    <a:lstStyle/>
    <a:p>
      <a:pPr>
        <a:defRPr sz="1545" b="1"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666780884698726E-2"/>
          <c:y val="9.6916299559471397E-2"/>
          <c:w val="0.90877348679668102"/>
          <c:h val="0.7577092511013227"/>
        </c:manualLayout>
      </c:layout>
      <c:barChart>
        <c:barDir val="col"/>
        <c:grouping val="clustered"/>
        <c:varyColors val="0"/>
        <c:ser>
          <c:idx val="0"/>
          <c:order val="0"/>
          <c:spPr>
            <a:solidFill>
              <a:srgbClr val="7030A0"/>
            </a:solidFill>
            <a:ln w="12700">
              <a:solidFill>
                <a:srgbClr val="000000"/>
              </a:solidFill>
              <a:prstDash val="solid"/>
            </a:ln>
          </c:spPr>
          <c:invertIfNegative val="0"/>
          <c:dLbls>
            <c:spPr>
              <a:noFill/>
              <a:ln w="25400">
                <a:noFill/>
              </a:ln>
            </c:spPr>
            <c:showLegendKey val="0"/>
            <c:showVal val="1"/>
            <c:showCatName val="0"/>
            <c:showSerName val="0"/>
            <c:showPercent val="0"/>
            <c:showBubbleSize val="0"/>
            <c:showLeaderLines val="0"/>
          </c:dLbls>
          <c:cat>
            <c:strRef>
              <c:f>'Bar Chart Data'!$B$104:$B$108</c:f>
              <c:strCache>
                <c:ptCount val="5"/>
                <c:pt idx="0">
                  <c:v>Strongly Disagree</c:v>
                </c:pt>
                <c:pt idx="1">
                  <c:v>Disagree</c:v>
                </c:pt>
                <c:pt idx="2">
                  <c:v>Neutral or No opinion</c:v>
                </c:pt>
                <c:pt idx="3">
                  <c:v>Agree</c:v>
                </c:pt>
                <c:pt idx="4">
                  <c:v>Strongly Agree</c:v>
                </c:pt>
              </c:strCache>
            </c:strRef>
          </c:cat>
          <c:val>
            <c:numRef>
              <c:f>'Bar Chart Data'!$C$104:$C$108</c:f>
              <c:numCache>
                <c:formatCode>General</c:formatCode>
                <c:ptCount val="5"/>
                <c:pt idx="0">
                  <c:v>2.17</c:v>
                </c:pt>
                <c:pt idx="1">
                  <c:v>0</c:v>
                </c:pt>
                <c:pt idx="2">
                  <c:v>2.17</c:v>
                </c:pt>
                <c:pt idx="3">
                  <c:v>34.78</c:v>
                </c:pt>
                <c:pt idx="4">
                  <c:v>60.87</c:v>
                </c:pt>
              </c:numCache>
            </c:numRef>
          </c:val>
        </c:ser>
        <c:dLbls>
          <c:showLegendKey val="0"/>
          <c:showVal val="0"/>
          <c:showCatName val="0"/>
          <c:showSerName val="0"/>
          <c:showPercent val="0"/>
          <c:showBubbleSize val="0"/>
        </c:dLbls>
        <c:gapWidth val="150"/>
        <c:axId val="30379392"/>
        <c:axId val="30385280"/>
      </c:barChart>
      <c:catAx>
        <c:axId val="303793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0385280"/>
        <c:crosses val="autoZero"/>
        <c:auto val="1"/>
        <c:lblAlgn val="ctr"/>
        <c:lblOffset val="100"/>
        <c:tickLblSkip val="1"/>
        <c:tickMarkSkip val="1"/>
        <c:noMultiLvlLbl val="0"/>
      </c:catAx>
      <c:valAx>
        <c:axId val="30385280"/>
        <c:scaling>
          <c:orientation val="minMax"/>
          <c:max val="10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0379392"/>
        <c:crosses val="autoZero"/>
        <c:crossBetween val="between"/>
        <c:majorUnit val="25"/>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666780884698726E-2"/>
          <c:y val="9.6916299559471397E-2"/>
          <c:w val="0.90877348679668102"/>
          <c:h val="0.7577092511013227"/>
        </c:manualLayout>
      </c:layout>
      <c:barChart>
        <c:barDir val="col"/>
        <c:grouping val="clustered"/>
        <c:varyColors val="0"/>
        <c:ser>
          <c:idx val="0"/>
          <c:order val="0"/>
          <c:spPr>
            <a:solidFill>
              <a:srgbClr val="7030A0"/>
            </a:solidFill>
            <a:ln w="12700">
              <a:solidFill>
                <a:srgbClr val="000000"/>
              </a:solidFill>
              <a:prstDash val="solid"/>
            </a:ln>
          </c:spPr>
          <c:invertIfNegative val="0"/>
          <c:dLbls>
            <c:spPr>
              <a:noFill/>
              <a:ln w="25400">
                <a:noFill/>
              </a:ln>
            </c:spPr>
            <c:showLegendKey val="0"/>
            <c:showVal val="1"/>
            <c:showCatName val="0"/>
            <c:showSerName val="0"/>
            <c:showPercent val="0"/>
            <c:showBubbleSize val="0"/>
            <c:showLeaderLines val="0"/>
          </c:dLbls>
          <c:cat>
            <c:strRef>
              <c:f>'Bar Chart Data'!$B$146:$B$150</c:f>
              <c:strCache>
                <c:ptCount val="5"/>
                <c:pt idx="0">
                  <c:v>Strongly Disagree         </c:v>
                </c:pt>
                <c:pt idx="1">
                  <c:v>  Disagree     </c:v>
                </c:pt>
                <c:pt idx="2">
                  <c:v>Neutral or No opinion</c:v>
                </c:pt>
                <c:pt idx="3">
                  <c:v>Agree</c:v>
                </c:pt>
                <c:pt idx="4">
                  <c:v>Strongly Agree</c:v>
                </c:pt>
              </c:strCache>
            </c:strRef>
          </c:cat>
          <c:val>
            <c:numRef>
              <c:f>'Bar Chart Data'!$C$146:$C$150</c:f>
              <c:numCache>
                <c:formatCode>General</c:formatCode>
                <c:ptCount val="5"/>
                <c:pt idx="0">
                  <c:v>0</c:v>
                </c:pt>
                <c:pt idx="1">
                  <c:v>2.2200000000000002</c:v>
                </c:pt>
                <c:pt idx="2">
                  <c:v>11.11</c:v>
                </c:pt>
                <c:pt idx="3">
                  <c:v>37.78</c:v>
                </c:pt>
                <c:pt idx="4">
                  <c:v>48.89</c:v>
                </c:pt>
              </c:numCache>
            </c:numRef>
          </c:val>
        </c:ser>
        <c:dLbls>
          <c:showLegendKey val="0"/>
          <c:showVal val="0"/>
          <c:showCatName val="0"/>
          <c:showSerName val="0"/>
          <c:showPercent val="0"/>
          <c:showBubbleSize val="0"/>
        </c:dLbls>
        <c:gapWidth val="150"/>
        <c:axId val="31605888"/>
        <c:axId val="31607424"/>
      </c:barChart>
      <c:catAx>
        <c:axId val="31605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1607424"/>
        <c:crosses val="autoZero"/>
        <c:auto val="1"/>
        <c:lblAlgn val="ctr"/>
        <c:lblOffset val="100"/>
        <c:tickLblSkip val="1"/>
        <c:tickMarkSkip val="1"/>
        <c:noMultiLvlLbl val="0"/>
      </c:catAx>
      <c:valAx>
        <c:axId val="31607424"/>
        <c:scaling>
          <c:orientation val="minMax"/>
          <c:max val="10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1605888"/>
        <c:crosses val="autoZero"/>
        <c:crossBetween val="between"/>
        <c:majorUnit val="25"/>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666780884698656E-2"/>
          <c:y val="9.6916299559471397E-2"/>
          <c:w val="0.90877348679668102"/>
          <c:h val="0.75770925110132203"/>
        </c:manualLayout>
      </c:layout>
      <c:barChart>
        <c:barDir val="col"/>
        <c:grouping val="clustered"/>
        <c:varyColors val="0"/>
        <c:ser>
          <c:idx val="0"/>
          <c:order val="0"/>
          <c:spPr>
            <a:solidFill>
              <a:srgbClr val="7030A0"/>
            </a:solidFill>
            <a:ln w="12700">
              <a:solidFill>
                <a:srgbClr val="000000"/>
              </a:solidFill>
              <a:prstDash val="solid"/>
            </a:ln>
          </c:spPr>
          <c:invertIfNegative val="0"/>
          <c:dLbls>
            <c:spPr>
              <a:noFill/>
              <a:ln w="25400">
                <a:noFill/>
              </a:ln>
            </c:spPr>
            <c:showLegendKey val="0"/>
            <c:showVal val="1"/>
            <c:showCatName val="0"/>
            <c:showSerName val="0"/>
            <c:showPercent val="0"/>
            <c:showBubbleSize val="0"/>
            <c:showLeaderLines val="0"/>
          </c:dLbls>
          <c:cat>
            <c:strRef>
              <c:f>'Bar Chart Data'!$B$164:$B$168</c:f>
              <c:strCache>
                <c:ptCount val="5"/>
                <c:pt idx="0">
                  <c:v> No opinion         </c:v>
                </c:pt>
                <c:pt idx="1">
                  <c:v> Unsatisfied       </c:v>
                </c:pt>
                <c:pt idx="2">
                  <c:v>Somewhat satisfied</c:v>
                </c:pt>
                <c:pt idx="3">
                  <c:v>Very satisifed</c:v>
                </c:pt>
                <c:pt idx="4">
                  <c:v>Extremely satisfied</c:v>
                </c:pt>
              </c:strCache>
            </c:strRef>
          </c:cat>
          <c:val>
            <c:numRef>
              <c:f>'Bar Chart Data'!$C$164:$C$168</c:f>
              <c:numCache>
                <c:formatCode>General</c:formatCode>
                <c:ptCount val="5"/>
                <c:pt idx="0">
                  <c:v>0</c:v>
                </c:pt>
                <c:pt idx="1">
                  <c:v>2.17</c:v>
                </c:pt>
                <c:pt idx="2">
                  <c:v>8.7000000000000011</c:v>
                </c:pt>
                <c:pt idx="3">
                  <c:v>43.48</c:v>
                </c:pt>
                <c:pt idx="4">
                  <c:v>45.65</c:v>
                </c:pt>
              </c:numCache>
            </c:numRef>
          </c:val>
        </c:ser>
        <c:dLbls>
          <c:showLegendKey val="0"/>
          <c:showVal val="0"/>
          <c:showCatName val="0"/>
          <c:showSerName val="0"/>
          <c:showPercent val="0"/>
          <c:showBubbleSize val="0"/>
        </c:dLbls>
        <c:gapWidth val="150"/>
        <c:axId val="31635712"/>
        <c:axId val="31645696"/>
      </c:barChart>
      <c:catAx>
        <c:axId val="316357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1645696"/>
        <c:crosses val="autoZero"/>
        <c:auto val="1"/>
        <c:lblAlgn val="ctr"/>
        <c:lblOffset val="100"/>
        <c:tickLblSkip val="1"/>
        <c:tickMarkSkip val="1"/>
        <c:noMultiLvlLbl val="0"/>
      </c:catAx>
      <c:valAx>
        <c:axId val="31645696"/>
        <c:scaling>
          <c:orientation val="minMax"/>
          <c:max val="10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1635712"/>
        <c:crosses val="autoZero"/>
        <c:crossBetween val="between"/>
        <c:majorUnit val="25"/>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666780884698726E-2"/>
          <c:y val="9.6916299559471397E-2"/>
          <c:w val="0.90877348679668102"/>
          <c:h val="0.7577092511013227"/>
        </c:manualLayout>
      </c:layout>
      <c:barChart>
        <c:barDir val="col"/>
        <c:grouping val="clustered"/>
        <c:varyColors val="0"/>
        <c:ser>
          <c:idx val="0"/>
          <c:order val="0"/>
          <c:spPr>
            <a:solidFill>
              <a:srgbClr val="7030A0"/>
            </a:solidFill>
            <a:ln w="12700">
              <a:solidFill>
                <a:srgbClr val="000000"/>
              </a:solidFill>
              <a:prstDash val="solid"/>
            </a:ln>
          </c:spPr>
          <c:invertIfNegative val="0"/>
          <c:dLbls>
            <c:spPr>
              <a:noFill/>
              <a:ln w="25400">
                <a:noFill/>
              </a:ln>
            </c:spPr>
            <c:showLegendKey val="0"/>
            <c:showVal val="1"/>
            <c:showCatName val="0"/>
            <c:showSerName val="0"/>
            <c:showPercent val="0"/>
            <c:showBubbleSize val="0"/>
            <c:showLeaderLines val="0"/>
          </c:dLbls>
          <c:cat>
            <c:strRef>
              <c:f>'Bar Chart Data'!$B$44:$B$48</c:f>
              <c:strCache>
                <c:ptCount val="5"/>
                <c:pt idx="0">
                  <c:v>Strongly Disagree </c:v>
                </c:pt>
                <c:pt idx="1">
                  <c:v>Disagree</c:v>
                </c:pt>
                <c:pt idx="2">
                  <c:v>Neutral or No opinion</c:v>
                </c:pt>
                <c:pt idx="3">
                  <c:v>Agree</c:v>
                </c:pt>
                <c:pt idx="4">
                  <c:v>Strongly Agree</c:v>
                </c:pt>
              </c:strCache>
            </c:strRef>
          </c:cat>
          <c:val>
            <c:numRef>
              <c:f>'Bar Chart Data'!$C$44:$C$48</c:f>
              <c:numCache>
                <c:formatCode>General</c:formatCode>
                <c:ptCount val="5"/>
                <c:pt idx="0">
                  <c:v>2.17</c:v>
                </c:pt>
                <c:pt idx="1">
                  <c:v>2.17</c:v>
                </c:pt>
                <c:pt idx="2">
                  <c:v>2.17</c:v>
                </c:pt>
                <c:pt idx="3">
                  <c:v>36.96</c:v>
                </c:pt>
                <c:pt idx="4">
                  <c:v>56.52</c:v>
                </c:pt>
              </c:numCache>
            </c:numRef>
          </c:val>
        </c:ser>
        <c:dLbls>
          <c:showLegendKey val="0"/>
          <c:showVal val="0"/>
          <c:showCatName val="0"/>
          <c:showSerName val="0"/>
          <c:showPercent val="0"/>
          <c:showBubbleSize val="0"/>
        </c:dLbls>
        <c:gapWidth val="150"/>
        <c:axId val="31793152"/>
        <c:axId val="31794688"/>
      </c:barChart>
      <c:catAx>
        <c:axId val="317931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1794688"/>
        <c:crosses val="autoZero"/>
        <c:auto val="1"/>
        <c:lblAlgn val="ctr"/>
        <c:lblOffset val="100"/>
        <c:tickLblSkip val="1"/>
        <c:tickMarkSkip val="1"/>
        <c:noMultiLvlLbl val="0"/>
      </c:catAx>
      <c:valAx>
        <c:axId val="31794688"/>
        <c:scaling>
          <c:orientation val="minMax"/>
          <c:max val="10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1793152"/>
        <c:crosses val="autoZero"/>
        <c:crossBetween val="between"/>
        <c:majorUnit val="25"/>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0.124</cdr:x>
      <cdr:y>0.84336</cdr:y>
    </cdr:from>
    <cdr:to>
      <cdr:x>0.13</cdr:x>
      <cdr:y>0.85488</cdr:y>
    </cdr:to>
    <cdr:sp macro="" textlink="">
      <cdr:nvSpPr>
        <cdr:cNvPr id="2" name="TextBox 1"/>
        <cdr:cNvSpPr txBox="1"/>
      </cdr:nvSpPr>
      <cdr:spPr>
        <a:xfrm xmlns:a="http://schemas.openxmlformats.org/drawingml/2006/main">
          <a:off x="914400" y="3657600"/>
          <a:ext cx="45719" cy="457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0.61925</cdr:x>
      <cdr:y>0.62658</cdr:y>
    </cdr:from>
    <cdr:to>
      <cdr:x>0.74325</cdr:x>
      <cdr:y>0.84336</cdr:y>
    </cdr:to>
    <cdr:sp macro="" textlink="">
      <cdr:nvSpPr>
        <cdr:cNvPr id="5" name="TextBox 4"/>
        <cdr:cNvSpPr txBox="1"/>
      </cdr:nvSpPr>
      <cdr:spPr>
        <a:xfrm xmlns:a="http://schemas.openxmlformats.org/drawingml/2006/main">
          <a:off x="4572000" y="2743200"/>
          <a:ext cx="914400" cy="9144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0.10149</cdr:x>
      <cdr:y>0.85273</cdr:y>
    </cdr:from>
    <cdr:to>
      <cdr:x>0.58728</cdr:x>
      <cdr:y>0.93496</cdr:y>
    </cdr:to>
    <cdr:sp macro="" textlink="">
      <cdr:nvSpPr>
        <cdr:cNvPr id="6" name="TextBox 5"/>
        <cdr:cNvSpPr txBox="1"/>
      </cdr:nvSpPr>
      <cdr:spPr>
        <a:xfrm xmlns:a="http://schemas.openxmlformats.org/drawingml/2006/main">
          <a:off x="476250" y="1656940"/>
          <a:ext cx="2279650" cy="1597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t>Undergraduate Online Nursing  CHP</a:t>
          </a:r>
        </a:p>
      </cdr:txBody>
    </cdr:sp>
  </cdr:relSizeAnchor>
  <cdr:relSizeAnchor xmlns:cdr="http://schemas.openxmlformats.org/drawingml/2006/chartDrawing">
    <cdr:from>
      <cdr:x>0.60758</cdr:x>
      <cdr:y>0.83333</cdr:y>
    </cdr:from>
    <cdr:to>
      <cdr:x>0.93775</cdr:x>
      <cdr:y>0.95425</cdr:y>
    </cdr:to>
    <cdr:sp macro="" textlink="">
      <cdr:nvSpPr>
        <cdr:cNvPr id="7" name="TextBox 6"/>
        <cdr:cNvSpPr txBox="1"/>
      </cdr:nvSpPr>
      <cdr:spPr>
        <a:xfrm xmlns:a="http://schemas.openxmlformats.org/drawingml/2006/main">
          <a:off x="2851151" y="1619250"/>
          <a:ext cx="1549400"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baseline="0"/>
            <a:t>Graduate</a:t>
          </a:r>
          <a:r>
            <a:rPr lang="en-US" sz="1100" b="1"/>
            <a:t> </a:t>
          </a:r>
          <a:r>
            <a:rPr lang="en-US" sz="800" b="1" baseline="0"/>
            <a:t>Online Nursing CHP</a:t>
          </a:r>
        </a:p>
      </cdr:txBody>
    </cdr:sp>
  </cdr:relSizeAnchor>
</c:userShapes>
</file>

<file path=word/drawings/drawing2.xml><?xml version="1.0" encoding="utf-8"?>
<c:userShapes xmlns:c="http://schemas.openxmlformats.org/drawingml/2006/chart">
  <cdr:relSizeAnchor xmlns:cdr="http://schemas.openxmlformats.org/drawingml/2006/chartDrawing">
    <cdr:from>
      <cdr:x>0.09374</cdr:x>
      <cdr:y>0.03699</cdr:y>
    </cdr:from>
    <cdr:to>
      <cdr:x>0.24431</cdr:x>
      <cdr:y>0.09962</cdr:y>
    </cdr:to>
    <cdr:sp macro="" textlink="">
      <cdr:nvSpPr>
        <cdr:cNvPr id="19457" name="Text Box 1"/>
        <cdr:cNvSpPr txBox="1">
          <a:spLocks xmlns:a="http://schemas.openxmlformats.org/drawingml/2006/main" noChangeArrowheads="1"/>
        </cdr:cNvSpPr>
      </cdr:nvSpPr>
      <cdr:spPr bwMode="auto">
        <a:xfrm xmlns:a="http://schemas.openxmlformats.org/drawingml/2006/main">
          <a:off x="513015" y="83504"/>
          <a:ext cx="818895" cy="13600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18288" tIns="18288" rIns="0" bIns="0" anchor="t" upright="1"/>
        <a:lstStyle xmlns:a="http://schemas.openxmlformats.org/drawingml/2006/main"/>
        <a:p xmlns:a="http://schemas.openxmlformats.org/drawingml/2006/main">
          <a:pPr algn="l" rtl="0">
            <a:defRPr sz="1000"/>
          </a:pPr>
          <a:r>
            <a:rPr lang="en-US" sz="500" b="0" i="0" u="none" strike="noStrike" baseline="0">
              <a:solidFill>
                <a:srgbClr val="000000"/>
              </a:solidFill>
              <a:latin typeface="Arial"/>
              <a:cs typeface="Arial"/>
            </a:rPr>
            <a:t>Percent</a:t>
          </a:r>
        </a:p>
      </cdr:txBody>
    </cdr:sp>
  </cdr:relSizeAnchor>
</c:userShapes>
</file>

<file path=word/drawings/drawing3.xml><?xml version="1.0" encoding="utf-8"?>
<c:userShapes xmlns:c="http://schemas.openxmlformats.org/drawingml/2006/chart">
  <cdr:relSizeAnchor xmlns:cdr="http://schemas.openxmlformats.org/drawingml/2006/chartDrawing">
    <cdr:from>
      <cdr:x>0.09374</cdr:x>
      <cdr:y>0.03699</cdr:y>
    </cdr:from>
    <cdr:to>
      <cdr:x>0.24431</cdr:x>
      <cdr:y>0.09962</cdr:y>
    </cdr:to>
    <cdr:sp macro="" textlink="">
      <cdr:nvSpPr>
        <cdr:cNvPr id="26625" name="Text Box 1"/>
        <cdr:cNvSpPr txBox="1">
          <a:spLocks xmlns:a="http://schemas.openxmlformats.org/drawingml/2006/main" noChangeArrowheads="1"/>
        </cdr:cNvSpPr>
      </cdr:nvSpPr>
      <cdr:spPr bwMode="auto">
        <a:xfrm xmlns:a="http://schemas.openxmlformats.org/drawingml/2006/main">
          <a:off x="513015" y="83504"/>
          <a:ext cx="818895" cy="13600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18288" tIns="18288" rIns="0" bIns="0" anchor="t" upright="1"/>
        <a:lstStyle xmlns:a="http://schemas.openxmlformats.org/drawingml/2006/main"/>
        <a:p xmlns:a="http://schemas.openxmlformats.org/drawingml/2006/main">
          <a:pPr algn="l" rtl="0">
            <a:defRPr sz="1000"/>
          </a:pPr>
          <a:r>
            <a:rPr lang="en-US" sz="500" b="0" i="0" u="none" strike="noStrike" baseline="0">
              <a:solidFill>
                <a:srgbClr val="000000"/>
              </a:solidFill>
              <a:latin typeface="Arial"/>
              <a:cs typeface="Arial"/>
            </a:rPr>
            <a:t>Percent</a:t>
          </a:r>
        </a:p>
      </cdr:txBody>
    </cdr:sp>
  </cdr:relSizeAnchor>
</c:userShapes>
</file>

<file path=word/drawings/drawing4.xml><?xml version="1.0" encoding="utf-8"?>
<c:userShapes xmlns:c="http://schemas.openxmlformats.org/drawingml/2006/chart">
  <cdr:relSizeAnchor xmlns:cdr="http://schemas.openxmlformats.org/drawingml/2006/chartDrawing">
    <cdr:from>
      <cdr:x>0.09374</cdr:x>
      <cdr:y>0.03699</cdr:y>
    </cdr:from>
    <cdr:to>
      <cdr:x>0.24431</cdr:x>
      <cdr:y>0.09962</cdr:y>
    </cdr:to>
    <cdr:sp macro="" textlink="">
      <cdr:nvSpPr>
        <cdr:cNvPr id="29697" name="Text Box 1"/>
        <cdr:cNvSpPr txBox="1">
          <a:spLocks xmlns:a="http://schemas.openxmlformats.org/drawingml/2006/main" noChangeArrowheads="1"/>
        </cdr:cNvSpPr>
      </cdr:nvSpPr>
      <cdr:spPr bwMode="auto">
        <a:xfrm xmlns:a="http://schemas.openxmlformats.org/drawingml/2006/main">
          <a:off x="513015" y="83504"/>
          <a:ext cx="818895" cy="13600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18288" tIns="18288" rIns="0" bIns="0" anchor="t" upright="1"/>
        <a:lstStyle xmlns:a="http://schemas.openxmlformats.org/drawingml/2006/main"/>
        <a:p xmlns:a="http://schemas.openxmlformats.org/drawingml/2006/main">
          <a:pPr algn="l" rtl="0">
            <a:defRPr sz="1000"/>
          </a:pPr>
          <a:r>
            <a:rPr lang="en-US" sz="500" b="0" i="0" u="none" strike="noStrike" baseline="0">
              <a:solidFill>
                <a:srgbClr val="000000"/>
              </a:solidFill>
              <a:latin typeface="Arial"/>
              <a:cs typeface="Arial"/>
            </a:rPr>
            <a:t>Percent</a:t>
          </a:r>
        </a:p>
      </cdr:txBody>
    </cdr:sp>
  </cdr:relSizeAnchor>
</c:userShapes>
</file>

<file path=word/drawings/drawing5.xml><?xml version="1.0" encoding="utf-8"?>
<c:userShapes xmlns:c="http://schemas.openxmlformats.org/drawingml/2006/chart">
  <cdr:relSizeAnchor xmlns:cdr="http://schemas.openxmlformats.org/drawingml/2006/chartDrawing">
    <cdr:from>
      <cdr:x>0.09374</cdr:x>
      <cdr:y>0.03699</cdr:y>
    </cdr:from>
    <cdr:to>
      <cdr:x>0.24431</cdr:x>
      <cdr:y>0.09962</cdr:y>
    </cdr:to>
    <cdr:sp macro="" textlink="">
      <cdr:nvSpPr>
        <cdr:cNvPr id="9217" name="Text Box 1"/>
        <cdr:cNvSpPr txBox="1">
          <a:spLocks xmlns:a="http://schemas.openxmlformats.org/drawingml/2006/main" noChangeArrowheads="1"/>
        </cdr:cNvSpPr>
      </cdr:nvSpPr>
      <cdr:spPr bwMode="auto">
        <a:xfrm xmlns:a="http://schemas.openxmlformats.org/drawingml/2006/main">
          <a:off x="513015" y="83504"/>
          <a:ext cx="818895" cy="13600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18288" tIns="18288" rIns="0" bIns="0" anchor="t" upright="1"/>
        <a:lstStyle xmlns:a="http://schemas.openxmlformats.org/drawingml/2006/main"/>
        <a:p xmlns:a="http://schemas.openxmlformats.org/drawingml/2006/main">
          <a:pPr algn="l" rtl="0">
            <a:defRPr sz="1000"/>
          </a:pPr>
          <a:r>
            <a:rPr lang="en-US" sz="500" b="0" i="0" u="none" strike="noStrike" baseline="0">
              <a:solidFill>
                <a:srgbClr val="000000"/>
              </a:solidFill>
              <a:latin typeface="Arial"/>
              <a:cs typeface="Arial"/>
            </a:rPr>
            <a:t>Percent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1DD8-1ABF-424B-A89A-C41F50CD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7809</Words>
  <Characters>44515</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Bradford</dc:creator>
  <cp:lastModifiedBy>Windows User</cp:lastModifiedBy>
  <cp:revision>2</cp:revision>
  <cp:lastPrinted>2010-06-30T18:47:00Z</cp:lastPrinted>
  <dcterms:created xsi:type="dcterms:W3CDTF">2010-07-06T13:47:00Z</dcterms:created>
  <dcterms:modified xsi:type="dcterms:W3CDTF">2010-07-06T13:47:00Z</dcterms:modified>
</cp:coreProperties>
</file>